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3" w:rsidRDefault="00273443" w:rsidP="00FB0AF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73443">
        <w:rPr>
          <w:rFonts w:ascii="Times New Roman" w:hAnsi="Times New Roman" w:cs="Times New Roman"/>
        </w:rPr>
        <w:t xml:space="preserve">Załącznik nr </w:t>
      </w:r>
      <w:r w:rsidR="0074434C">
        <w:rPr>
          <w:rFonts w:ascii="Times New Roman" w:hAnsi="Times New Roman" w:cs="Times New Roman"/>
        </w:rPr>
        <w:t>2</w:t>
      </w:r>
      <w:r w:rsidRPr="00273443">
        <w:rPr>
          <w:rFonts w:ascii="Times New Roman" w:hAnsi="Times New Roman" w:cs="Times New Roman"/>
        </w:rPr>
        <w:t xml:space="preserve"> – </w:t>
      </w:r>
      <w:r w:rsidRPr="00866CCD">
        <w:rPr>
          <w:rFonts w:ascii="Times New Roman" w:hAnsi="Times New Roman" w:cs="Times New Roman"/>
          <w:i/>
        </w:rPr>
        <w:t>Pozostałe informacje dotyczące zamówienia</w:t>
      </w:r>
    </w:p>
    <w:p w:rsidR="00FB0AF9" w:rsidRDefault="00FB0AF9" w:rsidP="00FB0A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3D7" w:rsidRPr="007753D7" w:rsidRDefault="007753D7" w:rsidP="00FB0AF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753D7">
        <w:rPr>
          <w:rFonts w:ascii="Times New Roman" w:hAnsi="Times New Roman" w:cs="Times New Roman"/>
          <w:b/>
        </w:rPr>
        <w:t>CEL I ZAKRES ZAMÓWIENIA</w:t>
      </w:r>
    </w:p>
    <w:p w:rsidR="000302F4" w:rsidRDefault="007753D7" w:rsidP="00FB0AF9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wykonanie ekspertyzy </w:t>
      </w:r>
      <w:r w:rsidR="00CA184C">
        <w:rPr>
          <w:rFonts w:ascii="Times New Roman" w:hAnsi="Times New Roman" w:cs="Times New Roman"/>
        </w:rPr>
        <w:t>dotyczącej</w:t>
      </w:r>
      <w:r w:rsidR="00CA184C">
        <w:rPr>
          <w:rFonts w:ascii="Times New Roman" w:hAnsi="Times New Roman"/>
          <w:b/>
          <w:bCs/>
        </w:rPr>
        <w:t xml:space="preserve"> narzędzi, technik i metod badań społecznych możliwych do zastosowania w ramach pogłębionych konsultacji publicznych projektów rządowych aktów normatywnych, a także zasadności i kosztów stosowania w/w narzędzi</w:t>
      </w:r>
      <w:r w:rsidRPr="007753D7">
        <w:rPr>
          <w:rFonts w:ascii="Times New Roman" w:hAnsi="Times New Roman" w:cs="Times New Roman"/>
        </w:rPr>
        <w:t xml:space="preserve">. </w:t>
      </w:r>
    </w:p>
    <w:p w:rsidR="00CA184C" w:rsidRPr="00CA184C" w:rsidRDefault="00CA184C" w:rsidP="00CA184C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CA184C">
        <w:rPr>
          <w:rFonts w:ascii="Times New Roman" w:hAnsi="Times New Roman" w:cs="Times New Roman"/>
        </w:rPr>
        <w:t>Ekspertyza powinna wskazać:</w:t>
      </w:r>
    </w:p>
    <w:p w:rsidR="00CA184C" w:rsidRPr="00CA184C" w:rsidRDefault="00CA184C" w:rsidP="00CA184C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CA184C">
        <w:rPr>
          <w:rFonts w:ascii="Times New Roman" w:hAnsi="Times New Roman" w:cs="Times New Roman"/>
        </w:rPr>
        <w:t xml:space="preserve">warunki uzasadniające wykorzystanie danego narzędzia lub metody w wyróżnionych przez eksperta typach obszarów problemowych, </w:t>
      </w:r>
    </w:p>
    <w:p w:rsidR="00CA184C" w:rsidRPr="00CA184C" w:rsidRDefault="00CA184C" w:rsidP="00CA184C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CA184C">
        <w:rPr>
          <w:rFonts w:ascii="Times New Roman" w:hAnsi="Times New Roman" w:cs="Times New Roman"/>
        </w:rPr>
        <w:t xml:space="preserve">zestandaryzowane koszty typów narzędzi, technik i metod </w:t>
      </w:r>
      <w:r>
        <w:rPr>
          <w:rFonts w:ascii="Times New Roman" w:hAnsi="Times New Roman" w:cs="Times New Roman"/>
        </w:rPr>
        <w:t xml:space="preserve">badań społecznych stosowanych w </w:t>
      </w:r>
      <w:r w:rsidRPr="00CA184C">
        <w:rPr>
          <w:rFonts w:ascii="Times New Roman" w:hAnsi="Times New Roman" w:cs="Times New Roman"/>
        </w:rPr>
        <w:t xml:space="preserve">ramach pogłębionych konsultacji publicznych projektów rządowych aktów normatywnych. </w:t>
      </w:r>
    </w:p>
    <w:p w:rsidR="00CA184C" w:rsidRPr="007753D7" w:rsidRDefault="00CA184C" w:rsidP="00FB0AF9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273443" w:rsidRPr="00273443" w:rsidRDefault="00273443" w:rsidP="00FB0A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73443">
        <w:rPr>
          <w:rFonts w:ascii="Times New Roman" w:hAnsi="Times New Roman" w:cs="Times New Roman"/>
          <w:b/>
        </w:rPr>
        <w:t>DEFINICJA POJĘĆ UŻYWANYCH PRZEZ ZAMAWIAJĄCEGO</w:t>
      </w:r>
    </w:p>
    <w:p w:rsidR="00273443" w:rsidRDefault="00273443" w:rsidP="00FB0AF9">
      <w:pPr>
        <w:tabs>
          <w:tab w:val="left" w:pos="7413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>Zgodnie z kryteriami dostępu zatwierdzonymi przez Instytucję Zarządzającą PO WER oraz</w:t>
      </w:r>
      <w:r w:rsidR="00FB0AF9">
        <w:rPr>
          <w:rFonts w:ascii="Times New Roman" w:hAnsi="Times New Roman" w:cs="Times New Roman"/>
        </w:rPr>
        <w:t xml:space="preserve"> </w:t>
      </w:r>
      <w:r w:rsidRPr="00273443">
        <w:rPr>
          <w:rFonts w:ascii="Times New Roman" w:hAnsi="Times New Roman" w:cs="Times New Roman"/>
        </w:rPr>
        <w:t>Komitet Monitorujący PO WER:</w:t>
      </w:r>
      <w:r w:rsidR="00FB0AF9">
        <w:rPr>
          <w:rFonts w:ascii="Times New Roman" w:hAnsi="Times New Roman" w:cs="Times New Roman"/>
        </w:rPr>
        <w:t xml:space="preserve"> </w:t>
      </w:r>
    </w:p>
    <w:p w:rsidR="00273443" w:rsidRPr="00273443" w:rsidRDefault="00273443" w:rsidP="00FB0AF9">
      <w:pPr>
        <w:pStyle w:val="Akapitzlist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  <w:b/>
        </w:rPr>
        <w:t>„</w:t>
      </w:r>
      <w:r w:rsidR="000302F4">
        <w:rPr>
          <w:rFonts w:ascii="Times New Roman" w:hAnsi="Times New Roman" w:cs="Times New Roman"/>
          <w:b/>
        </w:rPr>
        <w:t>P</w:t>
      </w:r>
      <w:r w:rsidRPr="00273443">
        <w:rPr>
          <w:rFonts w:ascii="Times New Roman" w:hAnsi="Times New Roman" w:cs="Times New Roman"/>
          <w:b/>
        </w:rPr>
        <w:t>ogłębione konsultacje publiczne”</w:t>
      </w:r>
      <w:r w:rsidRPr="00273443">
        <w:rPr>
          <w:rFonts w:ascii="Times New Roman" w:hAnsi="Times New Roman" w:cs="Times New Roman"/>
        </w:rPr>
        <w:t xml:space="preserve"> to konsultacje publiczne (</w:t>
      </w:r>
      <w:r>
        <w:rPr>
          <w:rFonts w:ascii="Times New Roman" w:hAnsi="Times New Roman" w:cs="Times New Roman"/>
        </w:rPr>
        <w:t xml:space="preserve">w </w:t>
      </w:r>
      <w:r w:rsidR="000302F4">
        <w:rPr>
          <w:rFonts w:ascii="Times New Roman" w:hAnsi="Times New Roman" w:cs="Times New Roman"/>
        </w:rPr>
        <w:t>rozumieniu</w:t>
      </w:r>
      <w:r w:rsidR="004422B0">
        <w:rPr>
          <w:rFonts w:ascii="Times New Roman" w:hAnsi="Times New Roman" w:cs="Times New Roman"/>
        </w:rPr>
        <w:t xml:space="preserve"> </w:t>
      </w:r>
      <w:r w:rsidR="000302F4">
        <w:rPr>
          <w:rFonts w:ascii="Times New Roman" w:hAnsi="Times New Roman" w:cs="Times New Roman"/>
        </w:rPr>
        <w:t>Uchwały</w:t>
      </w:r>
      <w:r w:rsidRPr="00273443">
        <w:rPr>
          <w:rFonts w:ascii="Times New Roman" w:hAnsi="Times New Roman" w:cs="Times New Roman"/>
        </w:rPr>
        <w:t xml:space="preserve"> Nr 190 Rady Ministrów z dnia 29 października 2013 r. Regulamin pracy Rady Ministrów, M. P. z 2013 r., poz. 979) krajowego aktu prawnego prowadzone</w:t>
      </w:r>
      <w:r>
        <w:rPr>
          <w:rFonts w:ascii="Times New Roman" w:hAnsi="Times New Roman" w:cs="Times New Roman"/>
        </w:rPr>
        <w:t xml:space="preserve"> zgodnie z</w:t>
      </w:r>
      <w:r w:rsidR="004422B0">
        <w:rPr>
          <w:rFonts w:ascii="Times New Roman" w:hAnsi="Times New Roman" w:cs="Times New Roman"/>
        </w:rPr>
        <w:t xml:space="preserve"> </w:t>
      </w:r>
      <w:r w:rsidRPr="00273443">
        <w:rPr>
          <w:rFonts w:ascii="Times New Roman" w:hAnsi="Times New Roman" w:cs="Times New Roman"/>
          <w:i/>
        </w:rPr>
        <w:t>Wytycznymi do przeprowadzenia oceny wpł</w:t>
      </w:r>
      <w:r w:rsidR="009702C9">
        <w:rPr>
          <w:rFonts w:ascii="Times New Roman" w:hAnsi="Times New Roman" w:cs="Times New Roman"/>
          <w:i/>
        </w:rPr>
        <w:t>ywu i konsultacji publicznych w</w:t>
      </w:r>
      <w:r w:rsidR="004422B0">
        <w:rPr>
          <w:rFonts w:ascii="Times New Roman" w:hAnsi="Times New Roman" w:cs="Times New Roman"/>
          <w:i/>
        </w:rPr>
        <w:t xml:space="preserve"> </w:t>
      </w:r>
      <w:r w:rsidRPr="00273443">
        <w:rPr>
          <w:rFonts w:ascii="Times New Roman" w:hAnsi="Times New Roman" w:cs="Times New Roman"/>
          <w:i/>
        </w:rPr>
        <w:t xml:space="preserve">ramach </w:t>
      </w:r>
      <w:r w:rsidR="00B11CCA">
        <w:rPr>
          <w:rFonts w:ascii="Times New Roman" w:hAnsi="Times New Roman" w:cs="Times New Roman"/>
          <w:i/>
        </w:rPr>
        <w:t xml:space="preserve">rządowego </w:t>
      </w:r>
      <w:r w:rsidRPr="00273443">
        <w:rPr>
          <w:rFonts w:ascii="Times New Roman" w:hAnsi="Times New Roman" w:cs="Times New Roman"/>
          <w:i/>
        </w:rPr>
        <w:t>procesu legislacyjnego</w:t>
      </w:r>
      <w:r w:rsidRPr="00273443">
        <w:rPr>
          <w:rFonts w:ascii="Times New Roman" w:hAnsi="Times New Roman" w:cs="Times New Roman"/>
        </w:rPr>
        <w:t>, spełniające łącznie następujące warunki:</w:t>
      </w:r>
    </w:p>
    <w:p w:rsidR="00273443" w:rsidRPr="00273443" w:rsidRDefault="00273443" w:rsidP="003042EC">
      <w:pPr>
        <w:pStyle w:val="Akapitzlist"/>
        <w:numPr>
          <w:ilvl w:val="0"/>
          <w:numId w:val="2"/>
        </w:numPr>
        <w:spacing w:after="0" w:line="360" w:lineRule="auto"/>
        <w:ind w:left="1560" w:hanging="425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>przeprowadzon</w:t>
      </w:r>
      <w:r w:rsidR="001B20E8">
        <w:rPr>
          <w:rFonts w:ascii="Times New Roman" w:hAnsi="Times New Roman" w:cs="Times New Roman"/>
        </w:rPr>
        <w:t>e</w:t>
      </w:r>
      <w:r w:rsidRPr="00273443">
        <w:rPr>
          <w:rFonts w:ascii="Times New Roman" w:hAnsi="Times New Roman" w:cs="Times New Roman"/>
        </w:rPr>
        <w:t xml:space="preserve"> z zastosowaniem co najmniej 3 różnych aktywnych metod konsultacji, </w:t>
      </w:r>
      <w:r w:rsidR="001B20E8">
        <w:rPr>
          <w:rFonts w:ascii="Times New Roman" w:hAnsi="Times New Roman" w:cs="Times New Roman"/>
        </w:rPr>
        <w:t xml:space="preserve">takich jak </w:t>
      </w:r>
      <w:r w:rsidRPr="00273443">
        <w:rPr>
          <w:rFonts w:ascii="Times New Roman" w:hAnsi="Times New Roman" w:cs="Times New Roman"/>
        </w:rPr>
        <w:t>m.in.</w:t>
      </w:r>
      <w:r w:rsidR="001B20E8">
        <w:rPr>
          <w:rFonts w:ascii="Times New Roman" w:hAnsi="Times New Roman" w:cs="Times New Roman"/>
        </w:rPr>
        <w:t>:</w:t>
      </w:r>
      <w:r w:rsidRPr="00273443">
        <w:rPr>
          <w:rFonts w:ascii="Times New Roman" w:hAnsi="Times New Roman" w:cs="Times New Roman"/>
        </w:rPr>
        <w:t xml:space="preserve">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ilościowe badania reprezentatywne (ankietowe lub wywiady standaryzowane),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wywiady indywidualne lub zogniskowane wywiady grupowe,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wysłuchania publiczne,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prośby o opinie (w tym wykorzystujące kwestionariusz konsultacje poprzez strony internetowe lub za pośrednictwem poczty elektronicznej),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bezpośrednie spotkania robocze,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moderowane spotkania otwarte (panelowe spotkania publiczne),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stałe konferencje,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sondaż </w:t>
      </w:r>
      <w:proofErr w:type="spellStart"/>
      <w:r w:rsidRPr="00273443">
        <w:rPr>
          <w:rFonts w:ascii="Times New Roman" w:hAnsi="Times New Roman" w:cs="Times New Roman"/>
        </w:rPr>
        <w:t>deliberatywny</w:t>
      </w:r>
      <w:proofErr w:type="spellEnd"/>
      <w:r w:rsidRPr="00273443">
        <w:rPr>
          <w:rFonts w:ascii="Times New Roman" w:hAnsi="Times New Roman" w:cs="Times New Roman"/>
        </w:rPr>
        <w:t xml:space="preserve">, </w:t>
      </w:r>
    </w:p>
    <w:p w:rsidR="00273443" w:rsidRPr="00273443" w:rsidRDefault="00273443" w:rsidP="00FB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>panele obywatelskie</w:t>
      </w:r>
      <w:r w:rsidR="009F1234">
        <w:rPr>
          <w:rFonts w:ascii="Times New Roman" w:hAnsi="Times New Roman" w:cs="Times New Roman"/>
        </w:rPr>
        <w:t>;</w:t>
      </w:r>
      <w:r w:rsidRPr="00273443">
        <w:rPr>
          <w:rFonts w:ascii="Times New Roman" w:hAnsi="Times New Roman" w:cs="Times New Roman"/>
        </w:rPr>
        <w:t xml:space="preserve"> </w:t>
      </w:r>
    </w:p>
    <w:p w:rsidR="00273443" w:rsidRPr="00273443" w:rsidRDefault="00273443" w:rsidP="003042EC">
      <w:pPr>
        <w:pStyle w:val="Akapitzlist"/>
        <w:numPr>
          <w:ilvl w:val="0"/>
          <w:numId w:val="2"/>
        </w:numPr>
        <w:spacing w:after="0" w:line="360" w:lineRule="auto"/>
        <w:ind w:left="1560" w:hanging="425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>obligatoryjnie przeprowadzon</w:t>
      </w:r>
      <w:r w:rsidR="001B20E8">
        <w:rPr>
          <w:rFonts w:ascii="Times New Roman" w:hAnsi="Times New Roman" w:cs="Times New Roman"/>
        </w:rPr>
        <w:t>e</w:t>
      </w:r>
      <w:r w:rsidRPr="00273443">
        <w:rPr>
          <w:rFonts w:ascii="Times New Roman" w:hAnsi="Times New Roman" w:cs="Times New Roman"/>
        </w:rPr>
        <w:t xml:space="preserve"> z udziałem co n</w:t>
      </w:r>
      <w:r>
        <w:rPr>
          <w:rFonts w:ascii="Times New Roman" w:hAnsi="Times New Roman" w:cs="Times New Roman"/>
        </w:rPr>
        <w:t>ajmniej partnerów społecznych i </w:t>
      </w:r>
      <w:r w:rsidRPr="00273443">
        <w:rPr>
          <w:rFonts w:ascii="Times New Roman" w:hAnsi="Times New Roman" w:cs="Times New Roman"/>
        </w:rPr>
        <w:t xml:space="preserve">organizacji pozarządowych; </w:t>
      </w:r>
    </w:p>
    <w:p w:rsidR="00273443" w:rsidRDefault="00273443" w:rsidP="003042EC">
      <w:pPr>
        <w:pStyle w:val="Akapitzlist"/>
        <w:numPr>
          <w:ilvl w:val="0"/>
          <w:numId w:val="2"/>
        </w:numPr>
        <w:spacing w:after="0" w:line="360" w:lineRule="auto"/>
        <w:ind w:left="1560" w:hanging="425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lastRenderedPageBreak/>
        <w:t>podsumowan</w:t>
      </w:r>
      <w:r w:rsidR="001B20E8">
        <w:rPr>
          <w:rFonts w:ascii="Times New Roman" w:hAnsi="Times New Roman" w:cs="Times New Roman"/>
        </w:rPr>
        <w:t>e</w:t>
      </w:r>
      <w:r w:rsidRPr="00273443">
        <w:rPr>
          <w:rFonts w:ascii="Times New Roman" w:hAnsi="Times New Roman" w:cs="Times New Roman"/>
        </w:rPr>
        <w:t xml:space="preserve"> oceną zastosowanych metod przy uwzględnieniu kryteriów efektywności, użyteczności i trafności. </w:t>
      </w:r>
    </w:p>
    <w:p w:rsidR="00273443" w:rsidRPr="00273443" w:rsidRDefault="003A176A" w:rsidP="00FB0AF9">
      <w:pPr>
        <w:pStyle w:val="Akapitzlist"/>
        <w:numPr>
          <w:ilvl w:val="0"/>
          <w:numId w:val="1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273443" w:rsidRPr="00273443">
        <w:rPr>
          <w:rFonts w:ascii="Times New Roman" w:hAnsi="Times New Roman" w:cs="Times New Roman"/>
          <w:b/>
        </w:rPr>
        <w:t>Katalog narzędzi i metod badań społecznych</w:t>
      </w:r>
      <w:r>
        <w:rPr>
          <w:rFonts w:ascii="Times New Roman" w:hAnsi="Times New Roman" w:cs="Times New Roman"/>
          <w:b/>
        </w:rPr>
        <w:t>”</w:t>
      </w:r>
      <w:r w:rsidR="00273443" w:rsidRPr="00273443">
        <w:rPr>
          <w:rFonts w:ascii="Times New Roman" w:hAnsi="Times New Roman" w:cs="Times New Roman"/>
        </w:rPr>
        <w:t xml:space="preserve"> </w:t>
      </w:r>
      <w:r w:rsidR="00B11CCA">
        <w:rPr>
          <w:rFonts w:ascii="Times New Roman" w:hAnsi="Times New Roman" w:cs="Times New Roman"/>
        </w:rPr>
        <w:t xml:space="preserve">– narzędzia i metody badań społecznych </w:t>
      </w:r>
      <w:r w:rsidR="00273443" w:rsidRPr="00273443">
        <w:rPr>
          <w:rFonts w:ascii="Times New Roman" w:hAnsi="Times New Roman" w:cs="Times New Roman"/>
        </w:rPr>
        <w:t>możliw</w:t>
      </w:r>
      <w:r w:rsidR="00B11CCA">
        <w:rPr>
          <w:rFonts w:ascii="Times New Roman" w:hAnsi="Times New Roman" w:cs="Times New Roman"/>
        </w:rPr>
        <w:t>e</w:t>
      </w:r>
      <w:r w:rsidR="00273443">
        <w:rPr>
          <w:rFonts w:ascii="Times New Roman" w:hAnsi="Times New Roman" w:cs="Times New Roman"/>
        </w:rPr>
        <w:t xml:space="preserve"> i zasadn</w:t>
      </w:r>
      <w:r w:rsidR="00B11CCA">
        <w:rPr>
          <w:rFonts w:ascii="Times New Roman" w:hAnsi="Times New Roman" w:cs="Times New Roman"/>
        </w:rPr>
        <w:t>e</w:t>
      </w:r>
      <w:r w:rsidR="00273443">
        <w:rPr>
          <w:rFonts w:ascii="Times New Roman" w:hAnsi="Times New Roman" w:cs="Times New Roman"/>
        </w:rPr>
        <w:t xml:space="preserve"> do zastosowania w</w:t>
      </w:r>
      <w:r>
        <w:rPr>
          <w:rFonts w:ascii="Times New Roman" w:hAnsi="Times New Roman" w:cs="Times New Roman"/>
        </w:rPr>
        <w:t xml:space="preserve"> </w:t>
      </w:r>
      <w:r w:rsidR="00273443" w:rsidRPr="00273443">
        <w:rPr>
          <w:rFonts w:ascii="Times New Roman" w:hAnsi="Times New Roman" w:cs="Times New Roman"/>
        </w:rPr>
        <w:t>ramach pogłębionych konsultacji publicznych projektów rządowych aktów normatywnych</w:t>
      </w:r>
      <w:r w:rsidR="00F36B54">
        <w:rPr>
          <w:rFonts w:ascii="Times New Roman" w:hAnsi="Times New Roman" w:cs="Times New Roman"/>
        </w:rPr>
        <w:t xml:space="preserve">. Katalog </w:t>
      </w:r>
      <w:r w:rsidR="00273443" w:rsidRPr="00273443">
        <w:rPr>
          <w:rFonts w:ascii="Times New Roman" w:hAnsi="Times New Roman" w:cs="Times New Roman"/>
        </w:rPr>
        <w:t>ma charakter otwarty</w:t>
      </w:r>
      <w:r w:rsidR="001B20E8">
        <w:rPr>
          <w:rFonts w:ascii="Times New Roman" w:hAnsi="Times New Roman" w:cs="Times New Roman"/>
        </w:rPr>
        <w:t>.</w:t>
      </w:r>
      <w:r w:rsidR="00273443" w:rsidRPr="00273443">
        <w:rPr>
          <w:rFonts w:ascii="Times New Roman" w:hAnsi="Times New Roman" w:cs="Times New Roman"/>
        </w:rPr>
        <w:t xml:space="preserve"> </w:t>
      </w:r>
      <w:r w:rsidR="001B20E8">
        <w:rPr>
          <w:rFonts w:ascii="Times New Roman" w:hAnsi="Times New Roman" w:cs="Times New Roman"/>
        </w:rPr>
        <w:t>P</w:t>
      </w:r>
      <w:r w:rsidR="00273443" w:rsidRPr="00273443">
        <w:rPr>
          <w:rFonts w:ascii="Times New Roman" w:hAnsi="Times New Roman" w:cs="Times New Roman"/>
        </w:rPr>
        <w:t>rzykładowo mogą być to: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ilościowe badania reprezentatywne (ankietowe lub wywiady standaryzowane),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wywiady indywidualne lub zogniskowane wywiady grupowe,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wysłuchania publiczne,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prośby o opinie (w tym wykorzystujące kwestionariusz konsultacje poprzez strony internetowe lub za pośrednictwem poczty elektronicznej),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bezpośrednie spotkania robocze,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moderowane spotkania otwarte (panelowe spotkania publiczne),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stałe konferencje,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73443">
        <w:rPr>
          <w:rFonts w:ascii="Times New Roman" w:hAnsi="Times New Roman" w:cs="Times New Roman"/>
        </w:rPr>
        <w:t xml:space="preserve">sondaż </w:t>
      </w:r>
      <w:proofErr w:type="spellStart"/>
      <w:r w:rsidRPr="00273443">
        <w:rPr>
          <w:rFonts w:ascii="Times New Roman" w:hAnsi="Times New Roman" w:cs="Times New Roman"/>
        </w:rPr>
        <w:t>deliberatywny</w:t>
      </w:r>
      <w:proofErr w:type="spellEnd"/>
      <w:r w:rsidRPr="00273443">
        <w:rPr>
          <w:rFonts w:ascii="Times New Roman" w:hAnsi="Times New Roman" w:cs="Times New Roman"/>
        </w:rPr>
        <w:t xml:space="preserve">, </w:t>
      </w:r>
    </w:p>
    <w:p w:rsidR="003A176A" w:rsidRPr="00273443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panele obywatelskie,</w:t>
      </w:r>
      <w:r w:rsidRPr="00273443">
        <w:rPr>
          <w:rFonts w:ascii="Times New Roman" w:hAnsi="Times New Roman" w:cs="Times New Roman"/>
        </w:rPr>
        <w:t xml:space="preserve"> </w:t>
      </w:r>
    </w:p>
    <w:p w:rsidR="003A176A" w:rsidRPr="007753D7" w:rsidRDefault="003A176A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contextualSpacing w:val="0"/>
        <w:rPr>
          <w:rFonts w:ascii="Times New Roman" w:hAnsi="Times New Roman" w:cs="Times New Roman"/>
          <w:b/>
        </w:rPr>
      </w:pPr>
      <w:r w:rsidRPr="00273443">
        <w:rPr>
          <w:rFonts w:ascii="Times New Roman" w:hAnsi="Times New Roman" w:cs="Times New Roman"/>
        </w:rPr>
        <w:t xml:space="preserve">inne, np. wskazane na stronie </w:t>
      </w:r>
      <w:hyperlink r:id="rId9" w:history="1">
        <w:r w:rsidRPr="00273443">
          <w:rPr>
            <w:rStyle w:val="Hipercze"/>
            <w:rFonts w:ascii="Times New Roman" w:hAnsi="Times New Roman" w:cs="Times New Roman"/>
          </w:rPr>
          <w:t>http://konsultacje.um.warszawa.pl/baza_wiedzy/techniki_konsultacji_spolecznych</w:t>
        </w:r>
      </w:hyperlink>
      <w:r w:rsidRPr="00273443">
        <w:rPr>
          <w:rFonts w:ascii="Times New Roman" w:hAnsi="Times New Roman" w:cs="Times New Roman"/>
        </w:rPr>
        <w:t>.</w:t>
      </w:r>
      <w:r w:rsidRPr="00273443">
        <w:rPr>
          <w:rFonts w:ascii="Times New Roman" w:hAnsi="Times New Roman" w:cs="Times New Roman"/>
          <w:b/>
        </w:rPr>
        <w:t xml:space="preserve"> </w:t>
      </w:r>
    </w:p>
    <w:p w:rsidR="003A176A" w:rsidRPr="00877F98" w:rsidRDefault="003A176A" w:rsidP="00FB0AF9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877F98">
        <w:rPr>
          <w:rFonts w:ascii="Times New Roman" w:hAnsi="Times New Roman" w:cs="Times New Roman"/>
          <w:b/>
        </w:rPr>
        <w:t>Krajow</w:t>
      </w:r>
      <w:r w:rsidR="004422B0">
        <w:rPr>
          <w:rFonts w:ascii="Times New Roman" w:hAnsi="Times New Roman" w:cs="Times New Roman"/>
          <w:b/>
        </w:rPr>
        <w:t>e</w:t>
      </w:r>
      <w:r w:rsidRPr="00877F98">
        <w:rPr>
          <w:rFonts w:ascii="Times New Roman" w:hAnsi="Times New Roman" w:cs="Times New Roman"/>
          <w:b/>
        </w:rPr>
        <w:t xml:space="preserve"> akt</w:t>
      </w:r>
      <w:r w:rsidR="004422B0">
        <w:rPr>
          <w:rFonts w:ascii="Times New Roman" w:hAnsi="Times New Roman" w:cs="Times New Roman"/>
          <w:b/>
        </w:rPr>
        <w:t>y</w:t>
      </w:r>
      <w:r w:rsidRPr="00877F98">
        <w:rPr>
          <w:rFonts w:ascii="Times New Roman" w:hAnsi="Times New Roman" w:cs="Times New Roman"/>
          <w:b/>
        </w:rPr>
        <w:t xml:space="preserve"> prawn</w:t>
      </w:r>
      <w:r w:rsidR="004422B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”</w:t>
      </w:r>
      <w:r w:rsidRPr="00877F98">
        <w:rPr>
          <w:rFonts w:ascii="Times New Roman" w:hAnsi="Times New Roman" w:cs="Times New Roman"/>
          <w:b/>
        </w:rPr>
        <w:t xml:space="preserve"> </w:t>
      </w:r>
      <w:r w:rsidRPr="00877F98">
        <w:rPr>
          <w:rFonts w:ascii="Times New Roman" w:hAnsi="Times New Roman" w:cs="Times New Roman"/>
        </w:rPr>
        <w:t>– rządowe projekty: założeń projektu ustawy, ustaw lub rozporządzeń opracowywane przez ministrów członków Rady Ministrów, Szefa Kancelarii Prezesa Rady Ministrów</w:t>
      </w:r>
      <w:r w:rsidR="004422B0">
        <w:rPr>
          <w:rFonts w:ascii="Times New Roman" w:hAnsi="Times New Roman" w:cs="Times New Roman"/>
        </w:rPr>
        <w:t xml:space="preserve"> bądź Rządowe Centrum Legislacyjne albo inny organ administracji rządowej upoważniony przez Prezesa Rady Ministrów</w:t>
      </w:r>
      <w:r w:rsidRPr="00877F98">
        <w:rPr>
          <w:rFonts w:ascii="Times New Roman" w:hAnsi="Times New Roman" w:cs="Times New Roman"/>
        </w:rPr>
        <w:t>.</w:t>
      </w:r>
    </w:p>
    <w:p w:rsidR="003A176A" w:rsidRPr="00862DF1" w:rsidRDefault="003A176A" w:rsidP="00FB0AF9">
      <w:pPr>
        <w:pStyle w:val="Akapitzlist"/>
        <w:numPr>
          <w:ilvl w:val="0"/>
          <w:numId w:val="1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022EE2">
        <w:rPr>
          <w:rFonts w:ascii="Times New Roman" w:hAnsi="Times New Roman" w:cs="Times New Roman"/>
          <w:b/>
        </w:rPr>
        <w:t>Partner</w:t>
      </w:r>
      <w:r>
        <w:rPr>
          <w:rFonts w:ascii="Times New Roman" w:hAnsi="Times New Roman" w:cs="Times New Roman"/>
          <w:b/>
        </w:rPr>
        <w:t>zy</w:t>
      </w:r>
      <w:r w:rsidRPr="00022EE2">
        <w:rPr>
          <w:rFonts w:ascii="Times New Roman" w:hAnsi="Times New Roman" w:cs="Times New Roman"/>
          <w:b/>
        </w:rPr>
        <w:t xml:space="preserve"> społeczn</w:t>
      </w:r>
      <w:r>
        <w:rPr>
          <w:rFonts w:ascii="Times New Roman" w:hAnsi="Times New Roman" w:cs="Times New Roman"/>
          <w:b/>
        </w:rPr>
        <w:t>i”</w:t>
      </w:r>
      <w:r w:rsidRPr="00022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862DF1">
        <w:rPr>
          <w:rFonts w:ascii="Times New Roman" w:hAnsi="Times New Roman" w:cs="Times New Roman"/>
        </w:rPr>
        <w:t xml:space="preserve"> reprezentatywne organizacje pracodawców i pracowników w rozumieniu ustawy z dnia 6 lipca 2001 r. o Trójstronnej Komisji do Spraw Społeczno-Gospodarczych i</w:t>
      </w:r>
      <w:r>
        <w:rPr>
          <w:rFonts w:ascii="Times New Roman" w:hAnsi="Times New Roman" w:cs="Times New Roman"/>
        </w:rPr>
        <w:t xml:space="preserve"> </w:t>
      </w:r>
      <w:r w:rsidRPr="00862DF1">
        <w:rPr>
          <w:rFonts w:ascii="Times New Roman" w:hAnsi="Times New Roman" w:cs="Times New Roman"/>
        </w:rPr>
        <w:t>wojewódzkich komisjach dialogu społecznego (Dz. U. Nr 100, poz. 1080, z</w:t>
      </w:r>
      <w:r>
        <w:rPr>
          <w:rFonts w:ascii="Times New Roman" w:hAnsi="Times New Roman" w:cs="Times New Roman"/>
        </w:rPr>
        <w:t> </w:t>
      </w:r>
      <w:proofErr w:type="spellStart"/>
      <w:r w:rsidRPr="00862DF1">
        <w:rPr>
          <w:rFonts w:ascii="Times New Roman" w:hAnsi="Times New Roman" w:cs="Times New Roman"/>
        </w:rPr>
        <w:t>późn</w:t>
      </w:r>
      <w:proofErr w:type="spellEnd"/>
      <w:r w:rsidRPr="00862DF1">
        <w:rPr>
          <w:rFonts w:ascii="Times New Roman" w:hAnsi="Times New Roman" w:cs="Times New Roman"/>
        </w:rPr>
        <w:t>. zm.) oraz branżowe i regio</w:t>
      </w:r>
      <w:r>
        <w:rPr>
          <w:rFonts w:ascii="Times New Roman" w:hAnsi="Times New Roman" w:cs="Times New Roman"/>
        </w:rPr>
        <w:t>nalne organizacje pracodawców i pracowników w </w:t>
      </w:r>
      <w:r w:rsidRPr="00862DF1">
        <w:rPr>
          <w:rFonts w:ascii="Times New Roman" w:hAnsi="Times New Roman" w:cs="Times New Roman"/>
        </w:rPr>
        <w:t>rozumieniu ustawy z</w:t>
      </w:r>
      <w:r>
        <w:rPr>
          <w:rFonts w:ascii="Times New Roman" w:hAnsi="Times New Roman" w:cs="Times New Roman"/>
        </w:rPr>
        <w:t xml:space="preserve"> </w:t>
      </w:r>
      <w:r w:rsidRPr="00862DF1">
        <w:rPr>
          <w:rFonts w:ascii="Times New Roman" w:hAnsi="Times New Roman" w:cs="Times New Roman"/>
        </w:rPr>
        <w:t>dnia 23 maja 1991 r. o organizacjach pracodawców (Dz. U. Nr 55, poz. 235, 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62DF1">
        <w:rPr>
          <w:rFonts w:ascii="Times New Roman" w:hAnsi="Times New Roman" w:cs="Times New Roman"/>
        </w:rPr>
        <w:t>późn</w:t>
      </w:r>
      <w:proofErr w:type="spellEnd"/>
      <w:r w:rsidRPr="00862DF1">
        <w:rPr>
          <w:rFonts w:ascii="Times New Roman" w:hAnsi="Times New Roman" w:cs="Times New Roman"/>
        </w:rPr>
        <w:t xml:space="preserve">. zm.), ustawy z dnia 22 marca 1989 r. o rzemiośle (Dz. U. z 2002 r. Nr 112, poz. 979, z </w:t>
      </w:r>
      <w:proofErr w:type="spellStart"/>
      <w:r w:rsidRPr="00862DF1">
        <w:rPr>
          <w:rFonts w:ascii="Times New Roman" w:hAnsi="Times New Roman" w:cs="Times New Roman"/>
        </w:rPr>
        <w:t>późn</w:t>
      </w:r>
      <w:proofErr w:type="spellEnd"/>
      <w:r w:rsidRPr="00862DF1">
        <w:rPr>
          <w:rFonts w:ascii="Times New Roman" w:hAnsi="Times New Roman" w:cs="Times New Roman"/>
        </w:rPr>
        <w:t>. zm.) i ustawy z</w:t>
      </w:r>
      <w:r>
        <w:rPr>
          <w:rFonts w:ascii="Times New Roman" w:hAnsi="Times New Roman" w:cs="Times New Roman"/>
        </w:rPr>
        <w:t xml:space="preserve"> </w:t>
      </w:r>
      <w:r w:rsidRPr="00862DF1">
        <w:rPr>
          <w:rFonts w:ascii="Times New Roman" w:hAnsi="Times New Roman" w:cs="Times New Roman"/>
        </w:rPr>
        <w:t>dnia 23 maja 1991 r. o</w:t>
      </w:r>
      <w:r>
        <w:rPr>
          <w:rFonts w:ascii="Times New Roman" w:hAnsi="Times New Roman" w:cs="Times New Roman"/>
        </w:rPr>
        <w:t xml:space="preserve"> związkach zawodowych (Dz. U. z </w:t>
      </w:r>
      <w:r w:rsidRPr="00862DF1">
        <w:rPr>
          <w:rFonts w:ascii="Times New Roman" w:hAnsi="Times New Roman" w:cs="Times New Roman"/>
        </w:rPr>
        <w:t>2014 r. poz. 167).</w:t>
      </w:r>
    </w:p>
    <w:p w:rsidR="003A176A" w:rsidRPr="00862DF1" w:rsidRDefault="003A176A" w:rsidP="00FB0AF9">
      <w:pPr>
        <w:pStyle w:val="Akapitzlist"/>
        <w:numPr>
          <w:ilvl w:val="0"/>
          <w:numId w:val="1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022EE2">
        <w:rPr>
          <w:rFonts w:ascii="Times New Roman" w:hAnsi="Times New Roman" w:cs="Times New Roman"/>
          <w:b/>
        </w:rPr>
        <w:t>Organizacj</w:t>
      </w:r>
      <w:r w:rsidR="001E23E2">
        <w:rPr>
          <w:rFonts w:ascii="Times New Roman" w:hAnsi="Times New Roman" w:cs="Times New Roman"/>
          <w:b/>
        </w:rPr>
        <w:t>e</w:t>
      </w:r>
      <w:r w:rsidRPr="00022EE2">
        <w:rPr>
          <w:rFonts w:ascii="Times New Roman" w:hAnsi="Times New Roman" w:cs="Times New Roman"/>
          <w:b/>
        </w:rPr>
        <w:t xml:space="preserve"> pozarządow</w:t>
      </w:r>
      <w:r w:rsidR="001E23E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”</w:t>
      </w:r>
      <w:r w:rsidRPr="00022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862DF1">
        <w:rPr>
          <w:rFonts w:ascii="Times New Roman" w:hAnsi="Times New Roman" w:cs="Times New Roman"/>
        </w:rPr>
        <w:t xml:space="preserve"> organizacje wskazane w</w:t>
      </w:r>
      <w:r w:rsidR="001E23E2">
        <w:rPr>
          <w:rFonts w:ascii="Times New Roman" w:hAnsi="Times New Roman" w:cs="Times New Roman"/>
        </w:rPr>
        <w:t xml:space="preserve"> art. 3 ust. 2 ustawy z dnia 24 </w:t>
      </w:r>
      <w:r w:rsidRPr="00862DF1">
        <w:rPr>
          <w:rFonts w:ascii="Times New Roman" w:hAnsi="Times New Roman" w:cs="Times New Roman"/>
        </w:rPr>
        <w:t xml:space="preserve">kwietnia 2003 r. </w:t>
      </w:r>
      <w:r w:rsidRPr="00862DF1">
        <w:rPr>
          <w:rFonts w:ascii="Times New Roman" w:hAnsi="Times New Roman" w:cs="Times New Roman"/>
          <w:i/>
        </w:rPr>
        <w:t>o działalności pożytku publicznego i o wolontariacie</w:t>
      </w:r>
      <w:r>
        <w:rPr>
          <w:rFonts w:ascii="Times New Roman" w:hAnsi="Times New Roman" w:cs="Times New Roman"/>
        </w:rPr>
        <w:t xml:space="preserve"> (Dz.U. z 2014 r., poz. 1118, z</w:t>
      </w:r>
      <w:r w:rsidR="001E23E2">
        <w:rPr>
          <w:rFonts w:ascii="Times New Roman" w:hAnsi="Times New Roman" w:cs="Times New Roman"/>
        </w:rPr>
        <w:t xml:space="preserve"> </w:t>
      </w:r>
      <w:proofErr w:type="spellStart"/>
      <w:r w:rsidRPr="00862DF1">
        <w:rPr>
          <w:rFonts w:ascii="Times New Roman" w:hAnsi="Times New Roman" w:cs="Times New Roman"/>
        </w:rPr>
        <w:t>późn</w:t>
      </w:r>
      <w:proofErr w:type="spellEnd"/>
      <w:r w:rsidRPr="00862DF1">
        <w:rPr>
          <w:rFonts w:ascii="Times New Roman" w:hAnsi="Times New Roman" w:cs="Times New Roman"/>
        </w:rPr>
        <w:t>. zm.).</w:t>
      </w:r>
    </w:p>
    <w:p w:rsidR="003A176A" w:rsidRDefault="003A176A" w:rsidP="00FB0AF9">
      <w:pPr>
        <w:pStyle w:val="Akapitzlist"/>
        <w:numPr>
          <w:ilvl w:val="0"/>
          <w:numId w:val="1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022EE2">
        <w:rPr>
          <w:rFonts w:ascii="Times New Roman" w:hAnsi="Times New Roman" w:cs="Times New Roman"/>
          <w:b/>
        </w:rPr>
        <w:t>Organizacj</w:t>
      </w:r>
      <w:r w:rsidR="001E23E2">
        <w:rPr>
          <w:rFonts w:ascii="Times New Roman" w:hAnsi="Times New Roman" w:cs="Times New Roman"/>
          <w:b/>
        </w:rPr>
        <w:t>e</w:t>
      </w:r>
      <w:r w:rsidRPr="00022EE2">
        <w:rPr>
          <w:rFonts w:ascii="Times New Roman" w:hAnsi="Times New Roman" w:cs="Times New Roman"/>
          <w:b/>
        </w:rPr>
        <w:t xml:space="preserve"> strażnicz</w:t>
      </w:r>
      <w:r w:rsidR="001E23E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”</w:t>
      </w:r>
      <w:r w:rsidRPr="00022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Pr="00F671C6">
        <w:rPr>
          <w:rFonts w:ascii="Times New Roman" w:hAnsi="Times New Roman" w:cs="Times New Roman"/>
          <w:i/>
        </w:rPr>
        <w:t>organizacj</w:t>
      </w:r>
      <w:r w:rsidR="001E23E2">
        <w:rPr>
          <w:rFonts w:ascii="Times New Roman" w:hAnsi="Times New Roman" w:cs="Times New Roman"/>
          <w:i/>
        </w:rPr>
        <w:t>e</w:t>
      </w:r>
      <w:r w:rsidRPr="00F671C6">
        <w:rPr>
          <w:rFonts w:ascii="Times New Roman" w:hAnsi="Times New Roman" w:cs="Times New Roman"/>
          <w:i/>
        </w:rPr>
        <w:t xml:space="preserve"> pozarządow</w:t>
      </w:r>
      <w:r w:rsidR="001E23E2">
        <w:rPr>
          <w:rFonts w:ascii="Times New Roman" w:hAnsi="Times New Roman" w:cs="Times New Roman"/>
          <w:i/>
        </w:rPr>
        <w:t>e</w:t>
      </w:r>
      <w:r w:rsidRPr="00F671C6">
        <w:rPr>
          <w:rFonts w:ascii="Times New Roman" w:hAnsi="Times New Roman" w:cs="Times New Roman"/>
        </w:rPr>
        <w:t xml:space="preserve"> działając</w:t>
      </w:r>
      <w:r w:rsidR="001E23E2">
        <w:rPr>
          <w:rFonts w:ascii="Times New Roman" w:hAnsi="Times New Roman" w:cs="Times New Roman"/>
        </w:rPr>
        <w:t>e</w:t>
      </w:r>
      <w:r w:rsidRPr="00F671C6">
        <w:rPr>
          <w:rFonts w:ascii="Times New Roman" w:hAnsi="Times New Roman" w:cs="Times New Roman"/>
        </w:rPr>
        <w:t xml:space="preserve"> w interesie publicznym, któr</w:t>
      </w:r>
      <w:r w:rsidR="001E23E2">
        <w:rPr>
          <w:rFonts w:ascii="Times New Roman" w:hAnsi="Times New Roman" w:cs="Times New Roman"/>
        </w:rPr>
        <w:t>ych</w:t>
      </w:r>
      <w:r w:rsidRPr="00F671C6">
        <w:rPr>
          <w:rFonts w:ascii="Times New Roman" w:hAnsi="Times New Roman" w:cs="Times New Roman"/>
        </w:rPr>
        <w:t xml:space="preserve"> celem jest </w:t>
      </w:r>
      <w:r w:rsidRPr="00F671C6">
        <w:rPr>
          <w:rFonts w:ascii="Times New Roman" w:hAnsi="Times New Roman" w:cs="Times New Roman"/>
          <w:i/>
        </w:rPr>
        <w:t>kontrola</w:t>
      </w:r>
      <w:r w:rsidRPr="00F671C6">
        <w:rPr>
          <w:rFonts w:ascii="Times New Roman" w:hAnsi="Times New Roman" w:cs="Times New Roman"/>
        </w:rPr>
        <w:t xml:space="preserve"> </w:t>
      </w:r>
      <w:r w:rsidRPr="00F671C6">
        <w:rPr>
          <w:rFonts w:ascii="Times New Roman" w:hAnsi="Times New Roman" w:cs="Times New Roman"/>
          <w:i/>
        </w:rPr>
        <w:t xml:space="preserve">obywatelska </w:t>
      </w:r>
      <w:r w:rsidRPr="00F671C6">
        <w:rPr>
          <w:rFonts w:ascii="Times New Roman" w:hAnsi="Times New Roman" w:cs="Times New Roman"/>
        </w:rPr>
        <w:t xml:space="preserve">działań władz publicznych lub obywatelska kontrola etyki działań wielkiego biznesu. </w:t>
      </w:r>
      <w:r w:rsidRPr="00F671C6">
        <w:rPr>
          <w:rFonts w:ascii="Times New Roman" w:hAnsi="Times New Roman" w:cs="Times New Roman"/>
          <w:i/>
        </w:rPr>
        <w:t>Kontrola obywatelska</w:t>
      </w:r>
      <w:r w:rsidRPr="00F671C6">
        <w:rPr>
          <w:rFonts w:ascii="Times New Roman" w:hAnsi="Times New Roman" w:cs="Times New Roman"/>
        </w:rPr>
        <w:t xml:space="preserve"> polega na opartym na </w:t>
      </w:r>
      <w:r w:rsidRPr="00F671C6">
        <w:rPr>
          <w:rFonts w:ascii="Times New Roman" w:hAnsi="Times New Roman" w:cs="Times New Roman"/>
        </w:rPr>
        <w:lastRenderedPageBreak/>
        <w:t>faktach i dokumentach zaplanowanym, usystematyzowanym i</w:t>
      </w:r>
      <w:r>
        <w:rPr>
          <w:rFonts w:ascii="Times New Roman" w:hAnsi="Times New Roman" w:cs="Times New Roman"/>
        </w:rPr>
        <w:t xml:space="preserve"> </w:t>
      </w:r>
      <w:r w:rsidRPr="00F671C6">
        <w:rPr>
          <w:rFonts w:ascii="Times New Roman" w:hAnsi="Times New Roman" w:cs="Times New Roman"/>
        </w:rPr>
        <w:t>prowadzonym według przyjętego schematu badaniu wybranego fragmentu funkcjonowania administracji publicznej w celu określenia, na ile stosowane procedury są zgodne z prawem oraz na ile faktycznie wykorzystywane są na rzecz dobra wspólnego. Metody badań i</w:t>
      </w:r>
      <w:r>
        <w:rPr>
          <w:rFonts w:ascii="Times New Roman" w:hAnsi="Times New Roman" w:cs="Times New Roman"/>
        </w:rPr>
        <w:t xml:space="preserve"> </w:t>
      </w:r>
      <w:r w:rsidRPr="00F671C6">
        <w:rPr>
          <w:rFonts w:ascii="Times New Roman" w:hAnsi="Times New Roman" w:cs="Times New Roman"/>
        </w:rPr>
        <w:t>analiz stosowane w kontroli obywatelskiej są podobne do tych stosowanych w badaniach społecznych. Ma ona dążyć do stwierdzenia, czy w danym obszarze występują nieprawidłowości</w:t>
      </w:r>
      <w:r>
        <w:rPr>
          <w:rFonts w:ascii="Times New Roman" w:hAnsi="Times New Roman" w:cs="Times New Roman"/>
        </w:rPr>
        <w:t xml:space="preserve"> (na podstawie</w:t>
      </w:r>
      <w:r w:rsidRPr="00F671C6">
        <w:rPr>
          <w:rFonts w:ascii="Times New Roman" w:hAnsi="Times New Roman" w:cs="Times New Roman"/>
        </w:rPr>
        <w:t xml:space="preserve">: </w:t>
      </w:r>
      <w:hyperlink r:id="rId10" w:history="1">
        <w:r w:rsidRPr="00957FE6">
          <w:rPr>
            <w:rStyle w:val="Hipercze"/>
            <w:rFonts w:ascii="Times New Roman" w:hAnsi="Times New Roman" w:cs="Times New Roman"/>
          </w:rPr>
          <w:t>www.watchdog.org.pl</w:t>
        </w:r>
      </w:hyperlink>
      <w:r w:rsidRPr="00F671C6">
        <w:rPr>
          <w:rFonts w:ascii="Times New Roman" w:hAnsi="Times New Roman" w:cs="Times New Roman"/>
        </w:rPr>
        <w:t>).</w:t>
      </w:r>
    </w:p>
    <w:p w:rsidR="003A176A" w:rsidRPr="003A176A" w:rsidRDefault="003A176A" w:rsidP="00FB0AF9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9873A8" w:rsidRDefault="009873A8" w:rsidP="00FB0AF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MINIMALNE </w:t>
      </w:r>
      <w:r w:rsidR="00273443" w:rsidRPr="00273443">
        <w:rPr>
          <w:rFonts w:ascii="Times New Roman" w:hAnsi="Times New Roman" w:cs="Times New Roman"/>
          <w:b/>
        </w:rPr>
        <w:t xml:space="preserve">WYMAGANIA W STOSUNKU DO </w:t>
      </w:r>
      <w:r w:rsidR="009702C9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  <w:b/>
        </w:rPr>
        <w:t xml:space="preserve"> </w:t>
      </w:r>
    </w:p>
    <w:p w:rsidR="00273443" w:rsidRDefault="009873A8" w:rsidP="009873A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(KRYTERIA DOSTĘPU)</w:t>
      </w:r>
    </w:p>
    <w:p w:rsidR="009702C9" w:rsidRPr="009702C9" w:rsidRDefault="009702C9" w:rsidP="00FB0AF9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273443" w:rsidRPr="00273443">
        <w:rPr>
          <w:rFonts w:ascii="Times New Roman" w:hAnsi="Times New Roman" w:cs="Times New Roman"/>
        </w:rPr>
        <w:t xml:space="preserve"> powinien posiadać wiedzę i doświadczenie niezbędne do </w:t>
      </w:r>
      <w:r>
        <w:rPr>
          <w:rFonts w:ascii="Times New Roman" w:hAnsi="Times New Roman" w:cs="Times New Roman"/>
        </w:rPr>
        <w:t xml:space="preserve">należytego </w:t>
      </w:r>
      <w:r w:rsidR="00273443" w:rsidRPr="00273443">
        <w:rPr>
          <w:rFonts w:ascii="Times New Roman" w:hAnsi="Times New Roman" w:cs="Times New Roman"/>
        </w:rPr>
        <w:t>wykonania zamówienia.</w:t>
      </w:r>
      <w:r w:rsidRPr="009702C9">
        <w:t xml:space="preserve"> </w:t>
      </w:r>
      <w:r w:rsidRPr="009702C9">
        <w:rPr>
          <w:rFonts w:ascii="Times New Roman" w:hAnsi="Times New Roman" w:cs="Times New Roman"/>
        </w:rPr>
        <w:t>Wykonawca usługi powinien</w:t>
      </w:r>
      <w:r w:rsidR="009B1D90">
        <w:rPr>
          <w:rFonts w:ascii="Times New Roman" w:hAnsi="Times New Roman" w:cs="Times New Roman"/>
        </w:rPr>
        <w:t xml:space="preserve"> spełniać </w:t>
      </w:r>
      <w:r w:rsidRPr="009702C9">
        <w:rPr>
          <w:rFonts w:ascii="Times New Roman" w:hAnsi="Times New Roman" w:cs="Times New Roman"/>
        </w:rPr>
        <w:t>następujące warunki</w:t>
      </w:r>
      <w:r w:rsidR="000302F4">
        <w:rPr>
          <w:rFonts w:ascii="Times New Roman" w:hAnsi="Times New Roman" w:cs="Times New Roman"/>
        </w:rPr>
        <w:t xml:space="preserve"> dotyczące praktycznej znajomości</w:t>
      </w:r>
      <w:r w:rsidRPr="009702C9">
        <w:rPr>
          <w:rFonts w:ascii="Times New Roman" w:hAnsi="Times New Roman" w:cs="Times New Roman"/>
        </w:rPr>
        <w:t xml:space="preserve">: </w:t>
      </w:r>
    </w:p>
    <w:p w:rsidR="009702C9" w:rsidRDefault="009702C9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0302F4">
        <w:rPr>
          <w:rFonts w:ascii="Times New Roman" w:hAnsi="Times New Roman" w:cs="Times New Roman"/>
        </w:rPr>
        <w:t>metodologii badań społeczn</w:t>
      </w:r>
      <w:r w:rsidR="00453960">
        <w:rPr>
          <w:rFonts w:ascii="Times New Roman" w:hAnsi="Times New Roman" w:cs="Times New Roman"/>
        </w:rPr>
        <w:t>ych (</w:t>
      </w:r>
      <w:r w:rsidRPr="000302F4">
        <w:rPr>
          <w:rFonts w:ascii="Times New Roman" w:hAnsi="Times New Roman" w:cs="Times New Roman"/>
        </w:rPr>
        <w:t xml:space="preserve">przygotowanie minimum </w:t>
      </w:r>
      <w:r w:rsidR="0053085A">
        <w:rPr>
          <w:rFonts w:ascii="Times New Roman" w:hAnsi="Times New Roman" w:cs="Times New Roman"/>
        </w:rPr>
        <w:t>3</w:t>
      </w:r>
      <w:r w:rsidRPr="000302F4">
        <w:rPr>
          <w:rFonts w:ascii="Times New Roman" w:hAnsi="Times New Roman" w:cs="Times New Roman"/>
        </w:rPr>
        <w:t xml:space="preserve"> badań</w:t>
      </w:r>
      <w:r w:rsidR="00453960">
        <w:rPr>
          <w:rFonts w:ascii="Times New Roman" w:hAnsi="Times New Roman" w:cs="Times New Roman"/>
        </w:rPr>
        <w:t>:</w:t>
      </w:r>
      <w:r w:rsidRPr="000302F4">
        <w:rPr>
          <w:rFonts w:ascii="Times New Roman" w:hAnsi="Times New Roman" w:cs="Times New Roman"/>
        </w:rPr>
        <w:t xml:space="preserve"> opracowanie metodologii lub przygotowanie narzędzi badawczych</w:t>
      </w:r>
      <w:r w:rsidR="0053085A">
        <w:rPr>
          <w:rFonts w:ascii="Times New Roman" w:hAnsi="Times New Roman" w:cs="Times New Roman"/>
        </w:rPr>
        <w:t xml:space="preserve"> w ciągu ostatnich 6 lat</w:t>
      </w:r>
      <w:r w:rsidRPr="000302F4">
        <w:rPr>
          <w:rFonts w:ascii="Times New Roman" w:hAnsi="Times New Roman" w:cs="Times New Roman"/>
        </w:rPr>
        <w:t>),</w:t>
      </w:r>
    </w:p>
    <w:p w:rsidR="00453960" w:rsidRPr="000302F4" w:rsidRDefault="00453960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zagadnień związanych z oceną wpływu (oceną skutków regulacji), w szczególności konsultacji publicznych,</w:t>
      </w:r>
    </w:p>
    <w:p w:rsidR="001B20E8" w:rsidRPr="000302F4" w:rsidRDefault="001B20E8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0302F4">
        <w:rPr>
          <w:rFonts w:ascii="Times New Roman" w:hAnsi="Times New Roman" w:cs="Times New Roman"/>
        </w:rPr>
        <w:t>wdrażani</w:t>
      </w:r>
      <w:r w:rsidR="00453960">
        <w:rPr>
          <w:rFonts w:ascii="Times New Roman" w:hAnsi="Times New Roman" w:cs="Times New Roman"/>
        </w:rPr>
        <w:t>a, koordynowania</w:t>
      </w:r>
      <w:r w:rsidRPr="000302F4">
        <w:rPr>
          <w:rFonts w:ascii="Times New Roman" w:hAnsi="Times New Roman" w:cs="Times New Roman"/>
        </w:rPr>
        <w:t xml:space="preserve"> lub ocen</w:t>
      </w:r>
      <w:r w:rsidR="00C47458">
        <w:rPr>
          <w:rFonts w:ascii="Times New Roman" w:hAnsi="Times New Roman" w:cs="Times New Roman"/>
        </w:rPr>
        <w:t>y</w:t>
      </w:r>
      <w:r w:rsidRPr="000302F4">
        <w:rPr>
          <w:rFonts w:ascii="Times New Roman" w:hAnsi="Times New Roman" w:cs="Times New Roman"/>
        </w:rPr>
        <w:t xml:space="preserve"> i monitoringu projektów współfinansowanych ze środków UE.</w:t>
      </w:r>
    </w:p>
    <w:p w:rsidR="009B1D90" w:rsidRDefault="009702C9" w:rsidP="00FB0AF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702C9">
        <w:rPr>
          <w:rFonts w:ascii="Times New Roman" w:hAnsi="Times New Roman" w:cs="Times New Roman"/>
        </w:rPr>
        <w:t>Wykonawca, w celu realizacji niniejszego zamówienia, może zaproponować zespół ekspertów spełniających powyższe wymagania łącznie. W takim wypadku jedna osoba powinna zostać wyznaczona jako lider odpowiadający za koordynację wszystkich prac zespołu</w:t>
      </w:r>
      <w:r w:rsidR="009B1D90" w:rsidRPr="009702C9">
        <w:rPr>
          <w:rFonts w:ascii="Times New Roman" w:hAnsi="Times New Roman" w:cs="Times New Roman"/>
        </w:rPr>
        <w:t xml:space="preserve">, </w:t>
      </w:r>
      <w:r w:rsidR="00FA37FD">
        <w:rPr>
          <w:rFonts w:ascii="Times New Roman" w:hAnsi="Times New Roman" w:cs="Times New Roman"/>
        </w:rPr>
        <w:t>a</w:t>
      </w:r>
      <w:r w:rsidR="009B1D90" w:rsidRPr="009702C9">
        <w:rPr>
          <w:rFonts w:ascii="Times New Roman" w:hAnsi="Times New Roman" w:cs="Times New Roman"/>
        </w:rPr>
        <w:t xml:space="preserve"> oferta powinna również</w:t>
      </w:r>
      <w:r w:rsidR="009B1D90">
        <w:rPr>
          <w:rFonts w:ascii="Times New Roman" w:hAnsi="Times New Roman" w:cs="Times New Roman"/>
        </w:rPr>
        <w:t xml:space="preserve"> określić </w:t>
      </w:r>
      <w:r w:rsidR="009B1D90" w:rsidRPr="009702C9">
        <w:rPr>
          <w:rFonts w:ascii="Times New Roman" w:hAnsi="Times New Roman" w:cs="Times New Roman"/>
        </w:rPr>
        <w:t>podział zadań pomiędzy członków zespołu (podział zadań powinien uwzględniać wszystkie zadania opisane</w:t>
      </w:r>
      <w:r w:rsidR="009B1D90">
        <w:rPr>
          <w:rFonts w:ascii="Times New Roman" w:hAnsi="Times New Roman" w:cs="Times New Roman"/>
        </w:rPr>
        <w:t xml:space="preserve"> w ogłoszeniu)</w:t>
      </w:r>
      <w:r w:rsidR="009B1D90" w:rsidRPr="003A176A">
        <w:rPr>
          <w:rFonts w:ascii="Times New Roman" w:hAnsi="Times New Roman" w:cs="Times New Roman"/>
        </w:rPr>
        <w:t>.</w:t>
      </w:r>
    </w:p>
    <w:p w:rsidR="009702C9" w:rsidRPr="009702C9" w:rsidRDefault="009B1D90" w:rsidP="00FB0AF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powyższe, </w:t>
      </w:r>
      <w:r w:rsidR="009702C9" w:rsidRPr="009702C9">
        <w:rPr>
          <w:rFonts w:ascii="Times New Roman" w:hAnsi="Times New Roman" w:cs="Times New Roman"/>
        </w:rPr>
        <w:t>Zamawiający dopuszcza składanie ofert przez:</w:t>
      </w:r>
    </w:p>
    <w:p w:rsidR="009702C9" w:rsidRPr="009702C9" w:rsidRDefault="009702C9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9702C9">
        <w:rPr>
          <w:rFonts w:ascii="Times New Roman" w:hAnsi="Times New Roman" w:cs="Times New Roman"/>
        </w:rPr>
        <w:t xml:space="preserve">podmiot, </w:t>
      </w:r>
      <w:r w:rsidR="00B11CCA">
        <w:rPr>
          <w:rFonts w:ascii="Times New Roman" w:hAnsi="Times New Roman" w:cs="Times New Roman"/>
        </w:rPr>
        <w:t>który</w:t>
      </w:r>
      <w:r w:rsidR="00B11CCA" w:rsidRPr="009702C9">
        <w:rPr>
          <w:rFonts w:ascii="Times New Roman" w:hAnsi="Times New Roman" w:cs="Times New Roman"/>
        </w:rPr>
        <w:t xml:space="preserve"> zrealizuje całość zamówienia</w:t>
      </w:r>
      <w:r w:rsidR="00B11CCA">
        <w:rPr>
          <w:rFonts w:ascii="Times New Roman" w:hAnsi="Times New Roman" w:cs="Times New Roman"/>
        </w:rPr>
        <w:t xml:space="preserve">, </w:t>
      </w:r>
      <w:r w:rsidRPr="009702C9">
        <w:rPr>
          <w:rFonts w:ascii="Times New Roman" w:hAnsi="Times New Roman" w:cs="Times New Roman"/>
        </w:rPr>
        <w:t xml:space="preserve">który będzie dysponować odpowiednim zespołem, </w:t>
      </w:r>
      <w:r w:rsidR="00513DBE">
        <w:rPr>
          <w:rFonts w:ascii="Times New Roman" w:hAnsi="Times New Roman" w:cs="Times New Roman"/>
        </w:rPr>
        <w:t xml:space="preserve">pod warunkiem </w:t>
      </w:r>
      <w:r w:rsidR="003A176A">
        <w:rPr>
          <w:rFonts w:ascii="Times New Roman" w:hAnsi="Times New Roman" w:cs="Times New Roman"/>
        </w:rPr>
        <w:t xml:space="preserve">imiennego </w:t>
      </w:r>
      <w:r w:rsidR="00513DBE">
        <w:rPr>
          <w:rFonts w:ascii="Times New Roman" w:hAnsi="Times New Roman" w:cs="Times New Roman"/>
        </w:rPr>
        <w:t>wskazania członków zespołu</w:t>
      </w:r>
      <w:r w:rsidR="003A176A">
        <w:rPr>
          <w:rFonts w:ascii="Times New Roman" w:hAnsi="Times New Roman" w:cs="Times New Roman"/>
        </w:rPr>
        <w:t xml:space="preserve"> z</w:t>
      </w:r>
      <w:r w:rsidR="009F1234">
        <w:rPr>
          <w:rFonts w:ascii="Times New Roman" w:hAnsi="Times New Roman" w:cs="Times New Roman"/>
        </w:rPr>
        <w:t> </w:t>
      </w:r>
      <w:r w:rsidR="003A176A">
        <w:rPr>
          <w:rFonts w:ascii="Times New Roman" w:hAnsi="Times New Roman" w:cs="Times New Roman"/>
        </w:rPr>
        <w:t>podaniem ich doświadczenia w zakresie praktycznej znajomości ww. obszar</w:t>
      </w:r>
      <w:r w:rsidR="00C47458">
        <w:rPr>
          <w:rFonts w:ascii="Times New Roman" w:hAnsi="Times New Roman" w:cs="Times New Roman"/>
        </w:rPr>
        <w:t xml:space="preserve">ów, łącznie co najmniej </w:t>
      </w:r>
      <w:r w:rsidR="00C47458" w:rsidRPr="009702C9">
        <w:rPr>
          <w:rFonts w:ascii="Times New Roman" w:hAnsi="Times New Roman" w:cs="Times New Roman"/>
        </w:rPr>
        <w:t>spełnia</w:t>
      </w:r>
      <w:r w:rsidR="00C47458">
        <w:rPr>
          <w:rFonts w:ascii="Times New Roman" w:hAnsi="Times New Roman" w:cs="Times New Roman"/>
        </w:rPr>
        <w:t>jącym</w:t>
      </w:r>
      <w:r w:rsidR="00C47458" w:rsidRPr="009702C9">
        <w:rPr>
          <w:rFonts w:ascii="Times New Roman" w:hAnsi="Times New Roman" w:cs="Times New Roman"/>
        </w:rPr>
        <w:t xml:space="preserve"> wszystkie warunki</w:t>
      </w:r>
      <w:r w:rsidR="00C47458">
        <w:rPr>
          <w:rFonts w:ascii="Times New Roman" w:hAnsi="Times New Roman" w:cs="Times New Roman"/>
        </w:rPr>
        <w:t xml:space="preserve"> minimalne, </w:t>
      </w:r>
    </w:p>
    <w:p w:rsidR="009702C9" w:rsidRDefault="009702C9" w:rsidP="00FB0AF9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9702C9">
        <w:rPr>
          <w:rFonts w:ascii="Times New Roman" w:hAnsi="Times New Roman" w:cs="Times New Roman"/>
        </w:rPr>
        <w:t>pojedynczego eksperta (osob</w:t>
      </w:r>
      <w:r w:rsidR="00B11CCA">
        <w:rPr>
          <w:rFonts w:ascii="Times New Roman" w:hAnsi="Times New Roman" w:cs="Times New Roman"/>
        </w:rPr>
        <w:t>ę</w:t>
      </w:r>
      <w:r w:rsidRPr="009702C9">
        <w:rPr>
          <w:rFonts w:ascii="Times New Roman" w:hAnsi="Times New Roman" w:cs="Times New Roman"/>
        </w:rPr>
        <w:t xml:space="preserve"> fizyczn</w:t>
      </w:r>
      <w:r w:rsidR="00B11CCA">
        <w:rPr>
          <w:rFonts w:ascii="Times New Roman" w:hAnsi="Times New Roman" w:cs="Times New Roman"/>
        </w:rPr>
        <w:t>ą</w:t>
      </w:r>
      <w:r w:rsidRPr="009702C9">
        <w:rPr>
          <w:rFonts w:ascii="Times New Roman" w:hAnsi="Times New Roman" w:cs="Times New Roman"/>
        </w:rPr>
        <w:t xml:space="preserve"> prowadząc</w:t>
      </w:r>
      <w:r w:rsidR="00B11CCA">
        <w:rPr>
          <w:rFonts w:ascii="Times New Roman" w:hAnsi="Times New Roman" w:cs="Times New Roman"/>
        </w:rPr>
        <w:t>ą</w:t>
      </w:r>
      <w:r w:rsidRPr="009702C9">
        <w:rPr>
          <w:rFonts w:ascii="Times New Roman" w:hAnsi="Times New Roman" w:cs="Times New Roman"/>
        </w:rPr>
        <w:t xml:space="preserve"> działalność gospodarczą</w:t>
      </w:r>
      <w:r>
        <w:rPr>
          <w:rFonts w:ascii="Times New Roman" w:hAnsi="Times New Roman" w:cs="Times New Roman"/>
        </w:rPr>
        <w:t xml:space="preserve"> lub osob</w:t>
      </w:r>
      <w:r w:rsidR="00B11CCA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fizyczna nie prowadząc</w:t>
      </w:r>
      <w:r w:rsidR="00B11CCA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działalności gospodarczej</w:t>
      </w:r>
      <w:r w:rsidRPr="009702C9">
        <w:rPr>
          <w:rFonts w:ascii="Times New Roman" w:hAnsi="Times New Roman" w:cs="Times New Roman"/>
        </w:rPr>
        <w:t>), który samodzielnie spełnia wszystkie warunki</w:t>
      </w:r>
      <w:r w:rsidR="00C47458">
        <w:rPr>
          <w:rFonts w:ascii="Times New Roman" w:hAnsi="Times New Roman" w:cs="Times New Roman"/>
        </w:rPr>
        <w:t xml:space="preserve"> minimalne</w:t>
      </w:r>
      <w:r w:rsidRPr="009702C9">
        <w:rPr>
          <w:rFonts w:ascii="Times New Roman" w:hAnsi="Times New Roman" w:cs="Times New Roman"/>
        </w:rPr>
        <w:t xml:space="preserve"> i zrealizuje całość zamówienia.</w:t>
      </w:r>
    </w:p>
    <w:p w:rsidR="003042EC" w:rsidRDefault="003042EC" w:rsidP="00FB0AF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3A176A" w:rsidRDefault="003A176A" w:rsidP="00FB0AF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ekspertyzy – nie później niż do dnia 20 listopada 2015 r.</w:t>
      </w:r>
    </w:p>
    <w:p w:rsidR="003A6F41" w:rsidRDefault="003A6F41" w:rsidP="00FB0AF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CA184C" w:rsidRDefault="00CA184C" w:rsidP="00FB0AF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CA184C" w:rsidRDefault="00CA184C" w:rsidP="00FB0AF9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E15C80" w:rsidRDefault="00E15C80" w:rsidP="00FB0AF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E15C80">
        <w:rPr>
          <w:rFonts w:ascii="Times New Roman" w:hAnsi="Times New Roman" w:cs="Times New Roman"/>
          <w:b/>
        </w:rPr>
        <w:lastRenderedPageBreak/>
        <w:t>KRYTERIA OCENY OFERT</w:t>
      </w:r>
    </w:p>
    <w:p w:rsidR="00B2562F" w:rsidRDefault="00B2562F" w:rsidP="00F527A0">
      <w:pPr>
        <w:widowControl w:val="0"/>
        <w:tabs>
          <w:tab w:val="num" w:pos="720"/>
          <w:tab w:val="left" w:pos="9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275FD1" w:rsidRPr="00B2562F">
        <w:rPr>
          <w:rFonts w:ascii="Times New Roman" w:eastAsia="Times New Roman" w:hAnsi="Times New Roman" w:cs="Times New Roman"/>
          <w:lang w:eastAsia="pl-PL"/>
        </w:rPr>
        <w:t>przy wyborze najkorzystniejszej oferty</w:t>
      </w:r>
      <w:r w:rsidR="00275FD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 się kierował</w:t>
      </w:r>
      <w:r w:rsidRPr="00B2562F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8D01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5FD1">
        <w:rPr>
          <w:rFonts w:ascii="Times New Roman" w:eastAsia="Times New Roman" w:hAnsi="Times New Roman" w:cs="Times New Roman"/>
          <w:lang w:eastAsia="pl-PL"/>
        </w:rPr>
        <w:t>następującymi kryteriami:</w:t>
      </w:r>
    </w:p>
    <w:p w:rsidR="009C119C" w:rsidRPr="00FB0AF9" w:rsidRDefault="008D01C7" w:rsidP="00F527A0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FB0AF9">
        <w:rPr>
          <w:rFonts w:ascii="Times New Roman" w:hAnsi="Times New Roman" w:cs="Times New Roman"/>
        </w:rPr>
        <w:t>c</w:t>
      </w:r>
      <w:r w:rsidR="009C119C" w:rsidRPr="00FB0AF9">
        <w:rPr>
          <w:rFonts w:ascii="Times New Roman" w:hAnsi="Times New Roman" w:cs="Times New Roman"/>
        </w:rPr>
        <w:t xml:space="preserve">ena </w:t>
      </w:r>
      <w:r w:rsidRPr="00FB0AF9">
        <w:rPr>
          <w:rFonts w:ascii="Times New Roman" w:hAnsi="Times New Roman" w:cs="Times New Roman"/>
        </w:rPr>
        <w:t>realizacji zadania</w:t>
      </w:r>
      <w:r w:rsidR="003A176A" w:rsidRPr="00FB0AF9">
        <w:rPr>
          <w:rFonts w:ascii="Times New Roman" w:hAnsi="Times New Roman" w:cs="Times New Roman"/>
        </w:rPr>
        <w:t>,</w:t>
      </w:r>
    </w:p>
    <w:p w:rsidR="009C119C" w:rsidRDefault="008D01C7" w:rsidP="00F527A0">
      <w:pPr>
        <w:pStyle w:val="Akapitzlist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FB0AF9">
        <w:rPr>
          <w:rFonts w:ascii="Times New Roman" w:hAnsi="Times New Roman" w:cs="Times New Roman"/>
        </w:rPr>
        <w:t>t</w:t>
      </w:r>
      <w:r w:rsidR="00275FD1" w:rsidRPr="00FB0AF9">
        <w:rPr>
          <w:rFonts w:ascii="Times New Roman" w:hAnsi="Times New Roman" w:cs="Times New Roman"/>
        </w:rPr>
        <w:t>ermin realizacji zadania</w:t>
      </w:r>
      <w:r w:rsidR="004422B0">
        <w:rPr>
          <w:rFonts w:ascii="Times New Roman" w:hAnsi="Times New Roman" w:cs="Times New Roman"/>
        </w:rPr>
        <w:t>,</w:t>
      </w:r>
    </w:p>
    <w:p w:rsidR="006729D4" w:rsidRPr="008D01C7" w:rsidRDefault="006729D4" w:rsidP="00F527A0">
      <w:pPr>
        <w:pStyle w:val="Akapitzlist"/>
        <w:widowControl w:val="0"/>
        <w:numPr>
          <w:ilvl w:val="0"/>
          <w:numId w:val="19"/>
        </w:numPr>
        <w:tabs>
          <w:tab w:val="left" w:pos="936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8D01C7">
        <w:rPr>
          <w:rFonts w:ascii="Times New Roman" w:eastAsia="Times New Roman" w:hAnsi="Times New Roman" w:cs="Times New Roman"/>
          <w:lang w:eastAsia="pl-PL"/>
        </w:rPr>
        <w:t>zakres doświadczenia</w:t>
      </w:r>
      <w:r>
        <w:rPr>
          <w:rFonts w:ascii="Times New Roman" w:eastAsia="Times New Roman" w:hAnsi="Times New Roman" w:cs="Times New Roman"/>
          <w:lang w:eastAsia="pl-PL"/>
        </w:rPr>
        <w:t xml:space="preserve"> oraz dorobku naukowo-badawczego</w:t>
      </w:r>
      <w:r w:rsidR="00B11CCA">
        <w:rPr>
          <w:rFonts w:ascii="Times New Roman" w:eastAsia="Times New Roman" w:hAnsi="Times New Roman" w:cs="Times New Roman"/>
          <w:lang w:eastAsia="pl-PL"/>
        </w:rPr>
        <w:t xml:space="preserve"> eksperta</w:t>
      </w:r>
      <w:r w:rsidR="004422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1CCA">
        <w:rPr>
          <w:rFonts w:ascii="Times New Roman" w:eastAsia="Times New Roman" w:hAnsi="Times New Roman" w:cs="Times New Roman"/>
          <w:lang w:eastAsia="pl-PL"/>
        </w:rPr>
        <w:t>/</w:t>
      </w:r>
      <w:r w:rsidR="004422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1CCA">
        <w:rPr>
          <w:rFonts w:ascii="Times New Roman" w:eastAsia="Times New Roman" w:hAnsi="Times New Roman" w:cs="Times New Roman"/>
          <w:lang w:eastAsia="pl-PL"/>
        </w:rPr>
        <w:t>ekspertów</w:t>
      </w:r>
      <w:r w:rsidR="004422B0" w:rsidRPr="004422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22B0">
        <w:rPr>
          <w:rFonts w:ascii="Times New Roman" w:eastAsia="Times New Roman" w:hAnsi="Times New Roman" w:cs="Times New Roman"/>
          <w:lang w:eastAsia="pl-PL"/>
        </w:rPr>
        <w:t>i</w:t>
      </w:r>
      <w:r w:rsidR="00377C7F">
        <w:rPr>
          <w:rFonts w:ascii="Times New Roman" w:eastAsia="Times New Roman" w:hAnsi="Times New Roman" w:cs="Times New Roman"/>
          <w:lang w:eastAsia="pl-PL"/>
        </w:rPr>
        <w:t> </w:t>
      </w:r>
      <w:r w:rsidR="004422B0">
        <w:rPr>
          <w:rFonts w:ascii="Times New Roman" w:eastAsia="Times New Roman" w:hAnsi="Times New Roman" w:cs="Times New Roman"/>
          <w:lang w:eastAsia="pl-PL"/>
        </w:rPr>
        <w:t>jego a</w:t>
      </w:r>
      <w:r w:rsidR="004422B0" w:rsidRPr="008D01C7">
        <w:rPr>
          <w:rFonts w:ascii="Times New Roman" w:eastAsia="Times New Roman" w:hAnsi="Times New Roman" w:cs="Times New Roman"/>
          <w:lang w:eastAsia="pl-PL"/>
        </w:rPr>
        <w:t xml:space="preserve">dekwatność </w:t>
      </w:r>
      <w:r w:rsidR="004422B0">
        <w:rPr>
          <w:rFonts w:ascii="Times New Roman" w:eastAsia="Times New Roman" w:hAnsi="Times New Roman" w:cs="Times New Roman"/>
          <w:lang w:eastAsia="pl-PL"/>
        </w:rPr>
        <w:t>do wymagań stawianych Wykonawcy (wskazanych w pkt III).</w:t>
      </w:r>
    </w:p>
    <w:p w:rsidR="003A6F41" w:rsidRDefault="003A6F41" w:rsidP="00FB0AF9">
      <w:pPr>
        <w:widowControl w:val="0"/>
        <w:tabs>
          <w:tab w:val="num" w:pos="720"/>
          <w:tab w:val="left" w:pos="9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62F" w:rsidRDefault="003A176A" w:rsidP="00FB0AF9">
      <w:pPr>
        <w:widowControl w:val="0"/>
        <w:tabs>
          <w:tab w:val="num" w:pos="720"/>
          <w:tab w:val="left" w:pos="9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A176A">
        <w:rPr>
          <w:rFonts w:ascii="Times New Roman" w:eastAsia="Times New Roman" w:hAnsi="Times New Roman" w:cs="Times New Roman"/>
          <w:lang w:eastAsia="pl-PL"/>
        </w:rPr>
        <w:t xml:space="preserve">Zamawiający preferuje jak </w:t>
      </w:r>
      <w:r w:rsidR="006A1289">
        <w:rPr>
          <w:rFonts w:ascii="Times New Roman" w:eastAsia="Times New Roman" w:hAnsi="Times New Roman" w:cs="Times New Roman"/>
          <w:lang w:eastAsia="pl-PL"/>
        </w:rPr>
        <w:t>najkrótszy</w:t>
      </w:r>
      <w:r w:rsidR="006A1289" w:rsidRPr="003A17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176A">
        <w:rPr>
          <w:rFonts w:ascii="Times New Roman" w:eastAsia="Times New Roman" w:hAnsi="Times New Roman" w:cs="Times New Roman"/>
          <w:lang w:eastAsia="pl-PL"/>
        </w:rPr>
        <w:t>termin wykonania ekspertyzy, nie później</w:t>
      </w:r>
      <w:r w:rsidR="004422B0">
        <w:rPr>
          <w:rFonts w:ascii="Times New Roman" w:eastAsia="Times New Roman" w:hAnsi="Times New Roman" w:cs="Times New Roman"/>
          <w:lang w:eastAsia="pl-PL"/>
        </w:rPr>
        <w:t>szy</w:t>
      </w:r>
      <w:r w:rsidRPr="003A176A">
        <w:rPr>
          <w:rFonts w:ascii="Times New Roman" w:eastAsia="Times New Roman" w:hAnsi="Times New Roman" w:cs="Times New Roman"/>
          <w:lang w:eastAsia="pl-PL"/>
        </w:rPr>
        <w:t xml:space="preserve"> niż do</w:t>
      </w:r>
      <w:r>
        <w:rPr>
          <w:rFonts w:ascii="Times New Roman" w:eastAsia="Times New Roman" w:hAnsi="Times New Roman" w:cs="Times New Roman"/>
          <w:lang w:eastAsia="pl-PL"/>
        </w:rPr>
        <w:t xml:space="preserve"> dnia</w:t>
      </w:r>
      <w:r w:rsidRPr="003A176A">
        <w:rPr>
          <w:rFonts w:ascii="Times New Roman" w:eastAsia="Times New Roman" w:hAnsi="Times New Roman" w:cs="Times New Roman"/>
          <w:lang w:eastAsia="pl-PL"/>
        </w:rPr>
        <w:t xml:space="preserve"> 20 listopada 2015 r. </w:t>
      </w:r>
    </w:p>
    <w:p w:rsidR="00FB0AF9" w:rsidRPr="00173E0C" w:rsidRDefault="00FB0AF9" w:rsidP="00FB0AF9">
      <w:pPr>
        <w:widowControl w:val="0"/>
        <w:tabs>
          <w:tab w:val="num" w:pos="720"/>
          <w:tab w:val="left" w:pos="936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E15C80" w:rsidRDefault="00E15C80" w:rsidP="00FB0AF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RAPORT KOŃCOWY Z BADANIA – EKSPERTYZA</w:t>
      </w:r>
    </w:p>
    <w:p w:rsidR="003A6F41" w:rsidRDefault="003A6F41" w:rsidP="003A6F4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3042EC" w:rsidRPr="003042EC" w:rsidRDefault="003042EC" w:rsidP="001E23E2">
      <w:pPr>
        <w:pStyle w:val="Akapitzlist"/>
        <w:numPr>
          <w:ilvl w:val="0"/>
          <w:numId w:val="1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8F20A7">
        <w:rPr>
          <w:rFonts w:ascii="Times New Roman" w:hAnsi="Times New Roman" w:cs="Times New Roman"/>
          <w:i/>
        </w:rPr>
        <w:t>Raport końcow</w:t>
      </w:r>
      <w:r>
        <w:rPr>
          <w:rFonts w:ascii="Times New Roman" w:hAnsi="Times New Roman" w:cs="Times New Roman"/>
          <w:i/>
        </w:rPr>
        <w:t xml:space="preserve">y </w:t>
      </w:r>
      <w:r>
        <w:rPr>
          <w:rFonts w:ascii="Times New Roman" w:hAnsi="Times New Roman" w:cs="Times New Roman"/>
        </w:rPr>
        <w:t xml:space="preserve">obligatoryjnie zawiera </w:t>
      </w:r>
      <w:r w:rsidRPr="003042EC">
        <w:rPr>
          <w:rFonts w:ascii="Times New Roman" w:hAnsi="Times New Roman" w:cs="Times New Roman"/>
        </w:rPr>
        <w:t>element podsumowując</w:t>
      </w:r>
      <w:r>
        <w:rPr>
          <w:rFonts w:ascii="Times New Roman" w:hAnsi="Times New Roman" w:cs="Times New Roman"/>
        </w:rPr>
        <w:t>y w postaci</w:t>
      </w:r>
      <w:r w:rsidRPr="003042EC">
        <w:rPr>
          <w:rFonts w:ascii="Times New Roman" w:hAnsi="Times New Roman" w:cs="Times New Roman"/>
        </w:rPr>
        <w:t xml:space="preserve"> tabeli </w:t>
      </w:r>
      <w:r w:rsidR="004422B0">
        <w:rPr>
          <w:rFonts w:ascii="Times New Roman" w:hAnsi="Times New Roman" w:cs="Times New Roman"/>
        </w:rPr>
        <w:t>wskazującej</w:t>
      </w:r>
      <w:r w:rsidRPr="003042EC">
        <w:rPr>
          <w:rFonts w:ascii="Times New Roman" w:hAnsi="Times New Roman" w:cs="Times New Roman"/>
        </w:rPr>
        <w:t>:</w:t>
      </w:r>
    </w:p>
    <w:p w:rsidR="004D7237" w:rsidRDefault="00F527A0" w:rsidP="00F527A0">
      <w:pPr>
        <w:pStyle w:val="Akapitzlist"/>
        <w:numPr>
          <w:ilvl w:val="0"/>
          <w:numId w:val="21"/>
        </w:numPr>
        <w:spacing w:after="0" w:line="360" w:lineRule="auto"/>
        <w:ind w:left="1712" w:hanging="357"/>
        <w:contextualSpacing w:val="0"/>
        <w:jc w:val="both"/>
        <w:rPr>
          <w:rFonts w:ascii="Times New Roman" w:hAnsi="Times New Roman" w:cs="Times New Roman"/>
        </w:rPr>
      </w:pPr>
      <w:r w:rsidRPr="00812FB0">
        <w:rPr>
          <w:rFonts w:ascii="Times New Roman" w:hAnsi="Times New Roman" w:cs="Times New Roman"/>
        </w:rPr>
        <w:t xml:space="preserve">obszary problemowe wyróżnione ze względu na </w:t>
      </w:r>
      <w:r>
        <w:rPr>
          <w:rFonts w:ascii="Times New Roman" w:hAnsi="Times New Roman" w:cs="Times New Roman"/>
        </w:rPr>
        <w:t xml:space="preserve">wypracowane przez Wykonawcę </w:t>
      </w:r>
      <w:r w:rsidRPr="00812FB0">
        <w:rPr>
          <w:rFonts w:ascii="Times New Roman" w:hAnsi="Times New Roman" w:cs="Times New Roman"/>
        </w:rPr>
        <w:t>kryteria</w:t>
      </w:r>
      <w:r w:rsidR="00B11CCA">
        <w:rPr>
          <w:rFonts w:ascii="Times New Roman" w:hAnsi="Times New Roman" w:cs="Times New Roman"/>
        </w:rPr>
        <w:t>)</w:t>
      </w:r>
      <w:r w:rsidR="004422B0">
        <w:rPr>
          <w:rFonts w:ascii="Times New Roman" w:hAnsi="Times New Roman" w:cs="Times New Roman"/>
        </w:rPr>
        <w:t>,</w:t>
      </w:r>
    </w:p>
    <w:p w:rsidR="003A6F41" w:rsidRDefault="00F527A0" w:rsidP="006C4CAC">
      <w:pPr>
        <w:pStyle w:val="Akapitzlist"/>
        <w:numPr>
          <w:ilvl w:val="0"/>
          <w:numId w:val="21"/>
        </w:numPr>
        <w:spacing w:after="0" w:line="360" w:lineRule="auto"/>
        <w:ind w:left="1712" w:hanging="357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>konkretne narzędzia</w:t>
      </w:r>
      <w:r>
        <w:rPr>
          <w:rFonts w:ascii="Times New Roman" w:hAnsi="Times New Roman" w:cs="Times New Roman"/>
        </w:rPr>
        <w:t>, techniki</w:t>
      </w:r>
      <w:r w:rsidRPr="007753D7">
        <w:rPr>
          <w:rFonts w:ascii="Times New Roman" w:hAnsi="Times New Roman" w:cs="Times New Roman"/>
        </w:rPr>
        <w:t xml:space="preserve"> lub metody</w:t>
      </w:r>
      <w:r>
        <w:rPr>
          <w:rFonts w:ascii="Times New Roman" w:hAnsi="Times New Roman" w:cs="Times New Roman"/>
        </w:rPr>
        <w:t xml:space="preserve"> badawcze możliwe do zastosowania (wraz z podaniem ich minimalnych i maksymalnych kosztów w cenach z roku wykonania ekspertyzy wraz z uzasadnieniem rozbieżności występującej pomiędzy nimi w sposób umożliwiający ocenę zasadności angażowania wyższych środków</w:t>
      </w:r>
      <w:r w:rsidR="006C4CAC">
        <w:rPr>
          <w:rFonts w:ascii="Times New Roman" w:hAnsi="Times New Roman" w:cs="Times New Roman"/>
        </w:rPr>
        <w:t>)</w:t>
      </w:r>
      <w:r w:rsidR="004422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E23E2" w:rsidRDefault="003042EC" w:rsidP="001E23E2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>warunk</w:t>
      </w:r>
      <w:r w:rsidR="00A1639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uzasadniając</w:t>
      </w:r>
      <w:r w:rsidR="00A16391">
        <w:rPr>
          <w:rFonts w:ascii="Times New Roman" w:hAnsi="Times New Roman" w:cs="Times New Roman"/>
        </w:rPr>
        <w:t>e</w:t>
      </w:r>
      <w:r w:rsidRPr="00775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wykorzystanie tychże </w:t>
      </w:r>
      <w:r w:rsidRPr="007753D7">
        <w:rPr>
          <w:rFonts w:ascii="Times New Roman" w:hAnsi="Times New Roman" w:cs="Times New Roman"/>
        </w:rPr>
        <w:t>narzędzi</w:t>
      </w:r>
      <w:r>
        <w:rPr>
          <w:rFonts w:ascii="Times New Roman" w:hAnsi="Times New Roman" w:cs="Times New Roman"/>
        </w:rPr>
        <w:t>, technik lub metod</w:t>
      </w:r>
      <w:r w:rsidR="00471400">
        <w:rPr>
          <w:rFonts w:ascii="Times New Roman" w:hAnsi="Times New Roman" w:cs="Times New Roman"/>
        </w:rPr>
        <w:t>.</w:t>
      </w:r>
    </w:p>
    <w:p w:rsidR="006C4CAC" w:rsidRDefault="006C4CAC" w:rsidP="006C4CAC">
      <w:pPr>
        <w:pStyle w:val="Akapitzlist"/>
        <w:numPr>
          <w:ilvl w:val="0"/>
          <w:numId w:val="1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raporcie należy uwzględnić</w:t>
      </w:r>
      <w:r w:rsidRPr="00A04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uwarunkowania triangulacji stosowanych metod i technik badawczych (warunków uzasadniających ich równoległe</w:t>
      </w:r>
      <w:r w:rsidRPr="00C47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stosowanie – jednoczesne bądź </w:t>
      </w:r>
      <w:r>
        <w:rPr>
          <w:rFonts w:ascii="Times New Roman" w:hAnsi="Times New Roman" w:cs="Times New Roman"/>
        </w:rPr>
        <w:br/>
        <w:t xml:space="preserve">w określonej sekwencji). </w:t>
      </w:r>
    </w:p>
    <w:p w:rsidR="006C4CAC" w:rsidRPr="006C4CAC" w:rsidRDefault="00021A9C" w:rsidP="00A0481F">
      <w:pPr>
        <w:pStyle w:val="Akapitzlist"/>
        <w:numPr>
          <w:ilvl w:val="0"/>
          <w:numId w:val="1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6C4CAC">
        <w:rPr>
          <w:rFonts w:ascii="Times New Roman" w:hAnsi="Times New Roman" w:cs="Times New Roman"/>
        </w:rPr>
        <w:t xml:space="preserve">Od eksperta oczekuje się </w:t>
      </w:r>
      <w:r w:rsidR="00235695">
        <w:rPr>
          <w:rFonts w:ascii="Times New Roman" w:hAnsi="Times New Roman" w:cs="Times New Roman"/>
        </w:rPr>
        <w:t>uwzględnienia</w:t>
      </w:r>
      <w:r w:rsidR="00235695" w:rsidRPr="006C4CAC">
        <w:rPr>
          <w:rFonts w:ascii="Times New Roman" w:hAnsi="Times New Roman" w:cs="Times New Roman"/>
        </w:rPr>
        <w:t xml:space="preserve"> </w:t>
      </w:r>
      <w:r w:rsidR="00235695">
        <w:rPr>
          <w:rFonts w:ascii="Times New Roman" w:hAnsi="Times New Roman" w:cs="Times New Roman"/>
        </w:rPr>
        <w:t xml:space="preserve">w raporcie </w:t>
      </w:r>
      <w:r w:rsidRPr="006C4CAC">
        <w:rPr>
          <w:rFonts w:ascii="Times New Roman" w:hAnsi="Times New Roman" w:cs="Times New Roman"/>
        </w:rPr>
        <w:t>wyczerpującego katalogu narzędzi i</w:t>
      </w:r>
      <w:r w:rsidR="004A637C">
        <w:rPr>
          <w:rFonts w:ascii="Times New Roman" w:hAnsi="Times New Roman" w:cs="Times New Roman"/>
        </w:rPr>
        <w:t> </w:t>
      </w:r>
      <w:r w:rsidRPr="006C4CAC">
        <w:rPr>
          <w:rFonts w:ascii="Times New Roman" w:hAnsi="Times New Roman" w:cs="Times New Roman"/>
        </w:rPr>
        <w:t>metod badań społecznych zawierającego przynajmniej metody wskazane w pkt. II 1</w:t>
      </w:r>
      <w:r w:rsidR="00866CCD">
        <w:rPr>
          <w:rFonts w:ascii="Times New Roman" w:hAnsi="Times New Roman" w:cs="Times New Roman"/>
        </w:rPr>
        <w:t xml:space="preserve"> a</w:t>
      </w:r>
      <w:r w:rsidR="006C4CAC" w:rsidRPr="006C4CAC">
        <w:rPr>
          <w:rFonts w:ascii="Times New Roman" w:hAnsi="Times New Roman" w:cs="Times New Roman"/>
        </w:rPr>
        <w:t>.</w:t>
      </w:r>
    </w:p>
    <w:p w:rsidR="006C4CAC" w:rsidRDefault="006C4CAC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85A" w:rsidRDefault="0053085A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85A" w:rsidRDefault="0053085A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90" w:rsidRDefault="009B1D90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90" w:rsidRDefault="009B1D90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90" w:rsidRDefault="009B1D90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90" w:rsidRDefault="009B1D90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216" w:rsidRDefault="00622216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90" w:rsidRDefault="009B1D90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85A" w:rsidRDefault="0053085A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84C" w:rsidRDefault="00CA184C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84C" w:rsidRDefault="00CA184C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84C" w:rsidRDefault="00CA184C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7F" w:rsidRDefault="00377C7F" w:rsidP="0030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EC" w:rsidRPr="00812FB0" w:rsidRDefault="003042EC" w:rsidP="00304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Ww. element podsumowujący może przyjąć następujący schemat.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363"/>
        <w:gridCol w:w="1283"/>
        <w:gridCol w:w="1439"/>
        <w:gridCol w:w="876"/>
        <w:gridCol w:w="1134"/>
        <w:gridCol w:w="1134"/>
      </w:tblGrid>
      <w:tr w:rsidR="003F391F" w:rsidRPr="004D15F6" w:rsidTr="00235695">
        <w:tc>
          <w:tcPr>
            <w:tcW w:w="1418" w:type="dxa"/>
            <w:vMerge w:val="restart"/>
            <w:textDirection w:val="btLr"/>
            <w:vAlign w:val="center"/>
          </w:tcPr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wyróżnienia obszarów problemowych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Obszar problemowy</w:t>
            </w:r>
          </w:p>
        </w:tc>
        <w:tc>
          <w:tcPr>
            <w:tcW w:w="1363" w:type="dxa"/>
            <w:vMerge w:val="restart"/>
            <w:textDirection w:val="btLr"/>
            <w:vAlign w:val="center"/>
          </w:tcPr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Narzędzie, technika lub metoda badawcza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Wskazówki operacyjne zastosowania danego narzędzia, techniki lub metody badawczej</w:t>
            </w:r>
          </w:p>
        </w:tc>
        <w:tc>
          <w:tcPr>
            <w:tcW w:w="1439" w:type="dxa"/>
            <w:vMerge w:val="restart"/>
            <w:textDirection w:val="btLr"/>
            <w:vAlign w:val="center"/>
          </w:tcPr>
          <w:p w:rsidR="00377C7F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 xml:space="preserve">Uzasadnienie zastosowania </w:t>
            </w:r>
          </w:p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(</w:t>
            </w:r>
            <w:r w:rsidRPr="004D15F6">
              <w:rPr>
                <w:rFonts w:ascii="Times New Roman" w:hAnsi="Times New Roman" w:cs="Times New Roman"/>
                <w:i/>
                <w:sz w:val="20"/>
              </w:rPr>
              <w:t>warunki kwalifikowania wydatku na etapie oceny projektu</w:t>
            </w:r>
            <w:r w:rsidRPr="004D15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44" w:type="dxa"/>
            <w:gridSpan w:val="3"/>
            <w:vAlign w:val="center"/>
          </w:tcPr>
          <w:p w:rsidR="003F391F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391F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Koszt</w:t>
            </w:r>
          </w:p>
          <w:p w:rsidR="003F391F" w:rsidRPr="004D15F6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rPr>
          <w:cantSplit/>
          <w:trHeight w:val="2986"/>
        </w:trPr>
        <w:tc>
          <w:tcPr>
            <w:tcW w:w="1418" w:type="dxa"/>
            <w:vMerge/>
            <w:vAlign w:val="center"/>
          </w:tcPr>
          <w:p w:rsidR="003F391F" w:rsidRPr="004D15F6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91F" w:rsidRPr="004D15F6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vMerge/>
            <w:vAlign w:val="center"/>
          </w:tcPr>
          <w:p w:rsidR="003F391F" w:rsidRPr="004D15F6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  <w:vMerge/>
            <w:vAlign w:val="center"/>
          </w:tcPr>
          <w:p w:rsidR="003F391F" w:rsidRPr="004D15F6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3F391F" w:rsidRPr="004D15F6" w:rsidRDefault="003F391F" w:rsidP="00C47458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minimalny</w:t>
            </w:r>
          </w:p>
        </w:tc>
        <w:tc>
          <w:tcPr>
            <w:tcW w:w="1134" w:type="dxa"/>
            <w:textDirection w:val="btLr"/>
            <w:vAlign w:val="center"/>
          </w:tcPr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maksymalny</w:t>
            </w:r>
          </w:p>
        </w:tc>
        <w:tc>
          <w:tcPr>
            <w:tcW w:w="1134" w:type="dxa"/>
            <w:textDirection w:val="btLr"/>
            <w:vAlign w:val="center"/>
          </w:tcPr>
          <w:p w:rsidR="00377C7F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 rozbieżności </w:t>
            </w:r>
          </w:p>
          <w:p w:rsidR="003F391F" w:rsidRPr="004D15F6" w:rsidRDefault="003F391F" w:rsidP="00235695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3A6F41">
              <w:rPr>
                <w:rFonts w:ascii="Times New Roman" w:hAnsi="Times New Roman" w:cs="Times New Roman"/>
                <w:i/>
                <w:sz w:val="20"/>
              </w:rPr>
              <w:t>umożliwiające ocenę zasadności angażowania środków wyższych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od kosztu minimalnego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F391F" w:rsidRPr="004D15F6" w:rsidTr="00235695">
        <w:tc>
          <w:tcPr>
            <w:tcW w:w="1418" w:type="dxa"/>
            <w:vMerge w:val="restart"/>
          </w:tcPr>
          <w:p w:rsidR="003F391F" w:rsidRPr="004D15F6" w:rsidRDefault="003F391F" w:rsidP="004A63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OLE_LINK1"/>
            <w:r w:rsidRPr="004D15F6">
              <w:rPr>
                <w:rFonts w:ascii="Times New Roman" w:hAnsi="Times New Roman" w:cs="Times New Roman"/>
                <w:sz w:val="20"/>
              </w:rPr>
              <w:t>Kryterium 1</w:t>
            </w:r>
            <w:r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  <w:r w:rsidR="004A637C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……….</w:t>
            </w:r>
          </w:p>
        </w:tc>
        <w:tc>
          <w:tcPr>
            <w:tcW w:w="992" w:type="dxa"/>
            <w:vMerge w:val="restart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 w:val="restart"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Kryterium 2</w:t>
            </w:r>
            <w:r>
              <w:rPr>
                <w:rFonts w:ascii="Times New Roman" w:hAnsi="Times New Roman" w:cs="Times New Roman"/>
                <w:sz w:val="20"/>
              </w:rPr>
              <w:t>: …………</w:t>
            </w:r>
          </w:p>
        </w:tc>
        <w:tc>
          <w:tcPr>
            <w:tcW w:w="992" w:type="dxa"/>
            <w:vMerge w:val="restart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 w:val="restart"/>
          </w:tcPr>
          <w:p w:rsidR="003F391F" w:rsidRPr="004D15F6" w:rsidRDefault="003F391F" w:rsidP="003F39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Kryterium n</w:t>
            </w:r>
            <w:r>
              <w:rPr>
                <w:rFonts w:ascii="Times New Roman" w:hAnsi="Times New Roman" w:cs="Times New Roman"/>
                <w:sz w:val="20"/>
              </w:rPr>
              <w:t>: …………</w:t>
            </w:r>
          </w:p>
        </w:tc>
        <w:tc>
          <w:tcPr>
            <w:tcW w:w="992" w:type="dxa"/>
            <w:vMerge w:val="restart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F391F" w:rsidRPr="004D15F6" w:rsidRDefault="003F391F" w:rsidP="00B924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91F" w:rsidRPr="004D15F6" w:rsidTr="00235695">
        <w:tc>
          <w:tcPr>
            <w:tcW w:w="1418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D15F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83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391F" w:rsidRPr="004D15F6" w:rsidRDefault="003F391F" w:rsidP="00B92457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1"/>
    </w:tbl>
    <w:p w:rsidR="003042EC" w:rsidRDefault="003042EC" w:rsidP="003042EC">
      <w:pPr>
        <w:pStyle w:val="Akapitzlist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</w:p>
    <w:p w:rsidR="00E15C80" w:rsidRPr="00E15C80" w:rsidRDefault="00E15C80" w:rsidP="00C47458">
      <w:pPr>
        <w:pStyle w:val="Akapitzlist"/>
        <w:numPr>
          <w:ilvl w:val="0"/>
          <w:numId w:val="1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E15C80">
        <w:rPr>
          <w:rFonts w:ascii="Times New Roman" w:hAnsi="Times New Roman" w:cs="Times New Roman"/>
        </w:rPr>
        <w:t xml:space="preserve">Raport końcowy zostanie przekazany Zamawiającemu w terminie </w:t>
      </w:r>
      <w:r w:rsidR="009C119C">
        <w:rPr>
          <w:rFonts w:ascii="Times New Roman" w:hAnsi="Times New Roman" w:cs="Times New Roman"/>
        </w:rPr>
        <w:t>wskazanym w umowie</w:t>
      </w:r>
      <w:r w:rsidRPr="00E15C80">
        <w:rPr>
          <w:rFonts w:ascii="Times New Roman" w:hAnsi="Times New Roman" w:cs="Times New Roman"/>
        </w:rPr>
        <w:t xml:space="preserve"> (w formie papierowej oraz w formie elektronicznej).</w:t>
      </w:r>
    </w:p>
    <w:p w:rsidR="007753D7" w:rsidRDefault="00E15C80" w:rsidP="00C47458">
      <w:pPr>
        <w:pStyle w:val="Akapitzlist"/>
        <w:numPr>
          <w:ilvl w:val="0"/>
          <w:numId w:val="1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E15C80">
        <w:rPr>
          <w:rFonts w:ascii="Times New Roman" w:hAnsi="Times New Roman" w:cs="Times New Roman"/>
        </w:rPr>
        <w:t xml:space="preserve">Zamawiający zatwierdzi raport końcowy albo wniesie uwagi i zastrzeżenia w terminie </w:t>
      </w:r>
      <w:r w:rsidR="009C119C">
        <w:rPr>
          <w:rFonts w:ascii="Times New Roman" w:hAnsi="Times New Roman" w:cs="Times New Roman"/>
        </w:rPr>
        <w:t>do </w:t>
      </w:r>
      <w:r w:rsidR="003A176A">
        <w:rPr>
          <w:rFonts w:ascii="Times New Roman" w:hAnsi="Times New Roman" w:cs="Times New Roman"/>
        </w:rPr>
        <w:t>5 </w:t>
      </w:r>
      <w:r>
        <w:rPr>
          <w:rFonts w:ascii="Times New Roman" w:hAnsi="Times New Roman" w:cs="Times New Roman"/>
        </w:rPr>
        <w:t xml:space="preserve">dni </w:t>
      </w:r>
      <w:r w:rsidR="003A176A">
        <w:rPr>
          <w:rFonts w:ascii="Times New Roman" w:hAnsi="Times New Roman" w:cs="Times New Roman"/>
        </w:rPr>
        <w:t>roboczych</w:t>
      </w:r>
      <w:r w:rsidRPr="00E15C80">
        <w:rPr>
          <w:rFonts w:ascii="Times New Roman" w:hAnsi="Times New Roman" w:cs="Times New Roman"/>
        </w:rPr>
        <w:t xml:space="preserve"> od dnia jego przekazania. </w:t>
      </w:r>
    </w:p>
    <w:p w:rsidR="007753D7" w:rsidRDefault="00E15C80" w:rsidP="00C47458">
      <w:pPr>
        <w:pStyle w:val="Akapitzlist"/>
        <w:numPr>
          <w:ilvl w:val="0"/>
          <w:numId w:val="1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E15C80">
        <w:rPr>
          <w:rFonts w:ascii="Times New Roman" w:hAnsi="Times New Roman" w:cs="Times New Roman"/>
        </w:rPr>
        <w:t xml:space="preserve">Wykonawca uwzględni uwagi w terminie do </w:t>
      </w:r>
      <w:r w:rsidR="003A176A">
        <w:rPr>
          <w:rFonts w:ascii="Times New Roman" w:hAnsi="Times New Roman" w:cs="Times New Roman"/>
        </w:rPr>
        <w:t>7 dni roboczych</w:t>
      </w:r>
      <w:r w:rsidR="003A176A" w:rsidRPr="00E15C80">
        <w:rPr>
          <w:rFonts w:ascii="Times New Roman" w:hAnsi="Times New Roman" w:cs="Times New Roman"/>
        </w:rPr>
        <w:t xml:space="preserve"> </w:t>
      </w:r>
      <w:r w:rsidR="00173E0C">
        <w:rPr>
          <w:rFonts w:ascii="Times New Roman" w:hAnsi="Times New Roman" w:cs="Times New Roman"/>
        </w:rPr>
        <w:t>od ich przekazania i</w:t>
      </w:r>
      <w:r w:rsidR="003A176A">
        <w:rPr>
          <w:rFonts w:ascii="Times New Roman" w:hAnsi="Times New Roman" w:cs="Times New Roman"/>
        </w:rPr>
        <w:t xml:space="preserve"> </w:t>
      </w:r>
      <w:r w:rsidRPr="00E15C80">
        <w:rPr>
          <w:rFonts w:ascii="Times New Roman" w:hAnsi="Times New Roman" w:cs="Times New Roman"/>
        </w:rPr>
        <w:t xml:space="preserve">przekaże Zamawiającemu poprawioną wersję raportu końcowego. </w:t>
      </w:r>
    </w:p>
    <w:p w:rsidR="00E15C80" w:rsidRDefault="003A176A" w:rsidP="00C47458">
      <w:pPr>
        <w:pStyle w:val="Akapitzlist"/>
        <w:numPr>
          <w:ilvl w:val="0"/>
          <w:numId w:val="1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15C80">
        <w:rPr>
          <w:rFonts w:ascii="Times New Roman" w:hAnsi="Times New Roman" w:cs="Times New Roman"/>
        </w:rPr>
        <w:t xml:space="preserve"> sytuacji, gdy Wykonawca nie uwzględni wszystkich jego uwag i zastrzeżeń zgłoszonych uprzednio</w:t>
      </w:r>
      <w:r w:rsidR="00B11CCA">
        <w:rPr>
          <w:rFonts w:ascii="Times New Roman" w:hAnsi="Times New Roman" w:cs="Times New Roman"/>
        </w:rPr>
        <w:t>,</w:t>
      </w:r>
      <w:r w:rsidRPr="00E15C80">
        <w:rPr>
          <w:rFonts w:ascii="Times New Roman" w:hAnsi="Times New Roman" w:cs="Times New Roman"/>
        </w:rPr>
        <w:t xml:space="preserve"> </w:t>
      </w:r>
      <w:r w:rsidR="00E15C80" w:rsidRPr="00E15C80">
        <w:rPr>
          <w:rFonts w:ascii="Times New Roman" w:hAnsi="Times New Roman" w:cs="Times New Roman"/>
        </w:rPr>
        <w:t>Zamawiający zastrzega sobie prawo do wnoszenia kolejnych uwa</w:t>
      </w:r>
      <w:r w:rsidR="00173E0C">
        <w:rPr>
          <w:rFonts w:ascii="Times New Roman" w:hAnsi="Times New Roman" w:cs="Times New Roman"/>
        </w:rPr>
        <w:t>g i zastrzeżeń w </w:t>
      </w:r>
      <w:r w:rsidR="00E15C80" w:rsidRPr="00E15C80">
        <w:rPr>
          <w:rFonts w:ascii="Times New Roman" w:hAnsi="Times New Roman" w:cs="Times New Roman"/>
        </w:rPr>
        <w:t>terminach wskazanych powyżej.</w:t>
      </w:r>
    </w:p>
    <w:p w:rsidR="00FB0AF9" w:rsidRDefault="00FB0AF9" w:rsidP="00C47458">
      <w:pPr>
        <w:pStyle w:val="Akapitzlist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</w:rPr>
      </w:pPr>
    </w:p>
    <w:p w:rsidR="00B2562F" w:rsidRDefault="00B2562F" w:rsidP="00C4745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B2562F">
        <w:rPr>
          <w:rFonts w:ascii="Times New Roman" w:hAnsi="Times New Roman" w:cs="Times New Roman"/>
          <w:b/>
        </w:rPr>
        <w:t>WYNAGRODZENIE ZA Z</w:t>
      </w:r>
      <w:r w:rsidR="000C1C1B">
        <w:rPr>
          <w:rFonts w:ascii="Times New Roman" w:hAnsi="Times New Roman" w:cs="Times New Roman"/>
          <w:b/>
        </w:rPr>
        <w:t>R</w:t>
      </w:r>
      <w:r w:rsidRPr="00B2562F">
        <w:rPr>
          <w:rFonts w:ascii="Times New Roman" w:hAnsi="Times New Roman" w:cs="Times New Roman"/>
          <w:b/>
        </w:rPr>
        <w:t>EALIZOWANĄ USŁUGĘ</w:t>
      </w:r>
    </w:p>
    <w:p w:rsidR="00B2562F" w:rsidRPr="00B2562F" w:rsidRDefault="00B2562F" w:rsidP="00C47458">
      <w:pPr>
        <w:pStyle w:val="Akapitzlist"/>
        <w:numPr>
          <w:ilvl w:val="0"/>
          <w:numId w:val="12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2562F">
        <w:rPr>
          <w:rFonts w:ascii="Times New Roman" w:hAnsi="Times New Roman" w:cs="Times New Roman"/>
        </w:rPr>
        <w:t>Wynagrodzenie zostanie zapłacone po zrealizowaniu usługi i po akceptacji przez Zam</w:t>
      </w:r>
      <w:r w:rsidR="00FB0AF9">
        <w:rPr>
          <w:rFonts w:ascii="Times New Roman" w:hAnsi="Times New Roman" w:cs="Times New Roman"/>
        </w:rPr>
        <w:t xml:space="preserve">awiającego protokołu odbioru. </w:t>
      </w:r>
    </w:p>
    <w:p w:rsidR="00B2562F" w:rsidRDefault="00B2562F" w:rsidP="00C47458">
      <w:pPr>
        <w:pStyle w:val="Akapitzlist"/>
        <w:numPr>
          <w:ilvl w:val="0"/>
          <w:numId w:val="12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2562F">
        <w:rPr>
          <w:rFonts w:ascii="Times New Roman" w:hAnsi="Times New Roman" w:cs="Times New Roman"/>
        </w:rPr>
        <w:t>Wykonawca przekaże Zamawiającemu autorskie prawa majątkowe do dostarczonej ekspertyzy w momencie jej akceptacji przez Zamawiającego.</w:t>
      </w:r>
    </w:p>
    <w:p w:rsidR="003A6F41" w:rsidRDefault="003A6F41" w:rsidP="00C47458">
      <w:pPr>
        <w:pStyle w:val="Akapitzlist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</w:rPr>
      </w:pPr>
    </w:p>
    <w:p w:rsidR="009702C9" w:rsidRDefault="00E15C80" w:rsidP="00C47458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DODATKOWE</w:t>
      </w:r>
      <w:r w:rsidRPr="00E15C80">
        <w:rPr>
          <w:rFonts w:ascii="Times New Roman" w:hAnsi="Times New Roman" w:cs="Times New Roman"/>
          <w:b/>
        </w:rPr>
        <w:t xml:space="preserve"> INFORMACJE</w:t>
      </w:r>
    </w:p>
    <w:p w:rsidR="00E15C80" w:rsidRPr="007753D7" w:rsidRDefault="00E15C80" w:rsidP="00C47458">
      <w:pPr>
        <w:pStyle w:val="Akapitzlist"/>
        <w:numPr>
          <w:ilvl w:val="0"/>
          <w:numId w:val="10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>Wykonawca</w:t>
      </w:r>
      <w:r w:rsidR="00FB0AF9">
        <w:rPr>
          <w:rFonts w:ascii="Times New Roman" w:hAnsi="Times New Roman" w:cs="Times New Roman"/>
        </w:rPr>
        <w:t xml:space="preserve"> – jeżeli prowadzi działalność gospodarczą –</w:t>
      </w:r>
      <w:r w:rsidRPr="007753D7">
        <w:rPr>
          <w:rFonts w:ascii="Times New Roman" w:hAnsi="Times New Roman" w:cs="Times New Roman"/>
        </w:rPr>
        <w:t xml:space="preserve"> zobowiązany jest załączyć kopię/skan aktualnego odpisu z właściwego rejestru lub kopię</w:t>
      </w:r>
      <w:r w:rsidRPr="007753D7">
        <w:t xml:space="preserve"> /</w:t>
      </w:r>
      <w:r w:rsidRPr="007753D7">
        <w:rPr>
          <w:rFonts w:ascii="Times New Roman" w:hAnsi="Times New Roman" w:cs="Times New Roman"/>
        </w:rPr>
        <w:t xml:space="preserve">skan aktualnego zaświadczenia o wpisie do ewidencji działalności gospodarczej. </w:t>
      </w:r>
    </w:p>
    <w:p w:rsidR="00E15C80" w:rsidRPr="007753D7" w:rsidRDefault="00E15C80" w:rsidP="00C47458">
      <w:pPr>
        <w:pStyle w:val="Akapitzlist"/>
        <w:numPr>
          <w:ilvl w:val="0"/>
          <w:numId w:val="10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>W ofercie należy wskazać osobę do kontaktu w sprawie złożonej oferty oraz numer telefonu, faksu i adres e-mailowy, na które będzie można przekazywać informacje dotyczące współpracy.</w:t>
      </w:r>
    </w:p>
    <w:p w:rsidR="00E15C80" w:rsidRPr="007753D7" w:rsidRDefault="00E15C80" w:rsidP="00C47458">
      <w:pPr>
        <w:pStyle w:val="Akapitzlist"/>
        <w:numPr>
          <w:ilvl w:val="0"/>
          <w:numId w:val="10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>Oferta powinna być podpisana czytelnie przez Wykonawcę lub przez upoważnionego przedstawiciela Wykonawcy (zgodnie z dokumentem rejestrowym).</w:t>
      </w:r>
    </w:p>
    <w:p w:rsidR="00E15C80" w:rsidRPr="007753D7" w:rsidRDefault="00E15C80" w:rsidP="00C47458">
      <w:pPr>
        <w:pStyle w:val="Akapitzlist"/>
        <w:numPr>
          <w:ilvl w:val="0"/>
          <w:numId w:val="10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 xml:space="preserve">W celu realizacji zamówienia z wybranym Wykonawcą zostanie podpisana umowa. </w:t>
      </w:r>
    </w:p>
    <w:p w:rsidR="00E15C80" w:rsidRPr="007753D7" w:rsidRDefault="00E15C80" w:rsidP="00C47458">
      <w:pPr>
        <w:pStyle w:val="Akapitzlist"/>
        <w:numPr>
          <w:ilvl w:val="0"/>
          <w:numId w:val="10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>Zamawiający zastrzega sobie możliwość negocjacji szczegółowych warunków realizacji umowy z najlepszymi oferentami.</w:t>
      </w:r>
    </w:p>
    <w:p w:rsidR="00E15C80" w:rsidRPr="007753D7" w:rsidRDefault="00E15C80" w:rsidP="00C47458">
      <w:pPr>
        <w:pStyle w:val="Akapitzlist"/>
        <w:numPr>
          <w:ilvl w:val="0"/>
          <w:numId w:val="10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7753D7">
        <w:rPr>
          <w:rFonts w:ascii="Times New Roman" w:hAnsi="Times New Roman" w:cs="Times New Roman"/>
        </w:rPr>
        <w:t>Zamawiający zastrzega sobie prawo do niewybrania żadnego Wykonawcy.</w:t>
      </w:r>
    </w:p>
    <w:sectPr w:rsidR="00E15C80" w:rsidRPr="0077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78" w:rsidRDefault="00852278" w:rsidP="00F527A0">
      <w:pPr>
        <w:spacing w:after="0" w:line="240" w:lineRule="auto"/>
      </w:pPr>
      <w:r>
        <w:separator/>
      </w:r>
    </w:p>
  </w:endnote>
  <w:endnote w:type="continuationSeparator" w:id="0">
    <w:p w:rsidR="00852278" w:rsidRDefault="00852278" w:rsidP="00F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78" w:rsidRDefault="00852278" w:rsidP="00F527A0">
      <w:pPr>
        <w:spacing w:after="0" w:line="240" w:lineRule="auto"/>
      </w:pPr>
      <w:r>
        <w:separator/>
      </w:r>
    </w:p>
  </w:footnote>
  <w:footnote w:type="continuationSeparator" w:id="0">
    <w:p w:rsidR="00852278" w:rsidRDefault="00852278" w:rsidP="00F527A0">
      <w:pPr>
        <w:spacing w:after="0" w:line="240" w:lineRule="auto"/>
      </w:pPr>
      <w:r>
        <w:continuationSeparator/>
      </w:r>
    </w:p>
  </w:footnote>
  <w:footnote w:id="1">
    <w:p w:rsidR="003F391F" w:rsidRPr="00F527A0" w:rsidRDefault="003F391F" w:rsidP="003F391F">
      <w:pPr>
        <w:pStyle w:val="Tekstprzypisudolnego"/>
        <w:jc w:val="both"/>
        <w:rPr>
          <w:sz w:val="18"/>
          <w:szCs w:val="18"/>
        </w:rPr>
      </w:pPr>
      <w:r w:rsidRPr="00F527A0">
        <w:rPr>
          <w:rStyle w:val="Odwoanieprzypisudolnego"/>
          <w:sz w:val="18"/>
          <w:szCs w:val="18"/>
        </w:rPr>
        <w:footnoteRef/>
      </w:r>
      <w:r w:rsidRPr="00F527A0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F527A0">
        <w:rPr>
          <w:rFonts w:ascii="Times New Roman" w:hAnsi="Times New Roman" w:cs="Times New Roman"/>
          <w:sz w:val="18"/>
          <w:szCs w:val="18"/>
        </w:rPr>
        <w:t xml:space="preserve">p. wg </w:t>
      </w:r>
      <w:r>
        <w:rPr>
          <w:rFonts w:ascii="Times New Roman" w:hAnsi="Times New Roman" w:cs="Times New Roman"/>
          <w:sz w:val="18"/>
          <w:szCs w:val="18"/>
        </w:rPr>
        <w:t xml:space="preserve">liczby osób na które </w:t>
      </w:r>
      <w:r w:rsidRPr="00F527A0">
        <w:rPr>
          <w:rFonts w:ascii="Times New Roman" w:hAnsi="Times New Roman" w:cs="Times New Roman"/>
          <w:sz w:val="18"/>
          <w:szCs w:val="18"/>
        </w:rPr>
        <w:t xml:space="preserve">bezpośrednio lub pośrednio wpływa </w:t>
      </w:r>
      <w:r>
        <w:rPr>
          <w:rFonts w:ascii="Times New Roman" w:hAnsi="Times New Roman" w:cs="Times New Roman"/>
          <w:sz w:val="18"/>
          <w:szCs w:val="18"/>
        </w:rPr>
        <w:t xml:space="preserve">dany problem, wg obszaru </w:t>
      </w:r>
      <w:r w:rsidRPr="00F527A0">
        <w:rPr>
          <w:rFonts w:ascii="Times New Roman" w:hAnsi="Times New Roman" w:cs="Times New Roman"/>
          <w:sz w:val="18"/>
          <w:szCs w:val="18"/>
        </w:rPr>
        <w:t xml:space="preserve">np. rynek pracy / przedsiębiorczość, edukacja, kształcenie zawodowe, bezrobocie itd., </w:t>
      </w:r>
      <w:r>
        <w:rPr>
          <w:rFonts w:ascii="Times New Roman" w:hAnsi="Times New Roman" w:cs="Times New Roman"/>
          <w:sz w:val="18"/>
          <w:szCs w:val="18"/>
        </w:rPr>
        <w:t xml:space="preserve">wg </w:t>
      </w:r>
      <w:r w:rsidRPr="00F527A0">
        <w:rPr>
          <w:rFonts w:ascii="Times New Roman" w:hAnsi="Times New Roman" w:cs="Times New Roman"/>
          <w:sz w:val="18"/>
          <w:szCs w:val="18"/>
        </w:rPr>
        <w:t>działu administracji rządowej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B6"/>
    <w:multiLevelType w:val="hybridMultilevel"/>
    <w:tmpl w:val="1A160C9C"/>
    <w:lvl w:ilvl="0" w:tplc="924ACA6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3456A04"/>
    <w:multiLevelType w:val="hybridMultilevel"/>
    <w:tmpl w:val="EBEA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1219"/>
    <w:multiLevelType w:val="hybridMultilevel"/>
    <w:tmpl w:val="FD6CAC48"/>
    <w:lvl w:ilvl="0" w:tplc="3A2C2D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BF02CC"/>
    <w:multiLevelType w:val="hybridMultilevel"/>
    <w:tmpl w:val="17A0B13A"/>
    <w:lvl w:ilvl="0" w:tplc="0184896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75663"/>
    <w:multiLevelType w:val="hybridMultilevel"/>
    <w:tmpl w:val="C9A66DFE"/>
    <w:lvl w:ilvl="0" w:tplc="04150017">
      <w:start w:val="1"/>
      <w:numFmt w:val="lowerLetter"/>
      <w:lvlText w:val="%1)"/>
      <w:lvlJc w:val="left"/>
      <w:pPr>
        <w:ind w:left="1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5">
    <w:nsid w:val="1EDC1683"/>
    <w:multiLevelType w:val="hybridMultilevel"/>
    <w:tmpl w:val="C800365C"/>
    <w:lvl w:ilvl="0" w:tplc="3A2C2D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E2155"/>
    <w:multiLevelType w:val="hybridMultilevel"/>
    <w:tmpl w:val="C6CE62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74A7A"/>
    <w:multiLevelType w:val="hybridMultilevel"/>
    <w:tmpl w:val="D17290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401908"/>
    <w:multiLevelType w:val="hybridMultilevel"/>
    <w:tmpl w:val="07CEACF2"/>
    <w:lvl w:ilvl="0" w:tplc="42922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6FAF"/>
    <w:multiLevelType w:val="hybridMultilevel"/>
    <w:tmpl w:val="324A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76304"/>
    <w:multiLevelType w:val="hybridMultilevel"/>
    <w:tmpl w:val="45D4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1B4E"/>
    <w:multiLevelType w:val="hybridMultilevel"/>
    <w:tmpl w:val="61B6DC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38658E"/>
    <w:multiLevelType w:val="hybridMultilevel"/>
    <w:tmpl w:val="90745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F061C9"/>
    <w:multiLevelType w:val="hybridMultilevel"/>
    <w:tmpl w:val="1A160C9C"/>
    <w:lvl w:ilvl="0" w:tplc="924ACA6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F3A65B2"/>
    <w:multiLevelType w:val="hybridMultilevel"/>
    <w:tmpl w:val="91BC5F4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47DE57E2"/>
    <w:multiLevelType w:val="hybridMultilevel"/>
    <w:tmpl w:val="EC50443C"/>
    <w:lvl w:ilvl="0" w:tplc="64B4D2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C96F99"/>
    <w:multiLevelType w:val="hybridMultilevel"/>
    <w:tmpl w:val="44A4DB18"/>
    <w:lvl w:ilvl="0" w:tplc="D916A2F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C54A2"/>
    <w:multiLevelType w:val="hybridMultilevel"/>
    <w:tmpl w:val="B12C7AE2"/>
    <w:lvl w:ilvl="0" w:tplc="FA5639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2147"/>
    <w:multiLevelType w:val="hybridMultilevel"/>
    <w:tmpl w:val="8FC05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1A05D8"/>
    <w:multiLevelType w:val="hybridMultilevel"/>
    <w:tmpl w:val="DC46F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10080A"/>
    <w:multiLevelType w:val="hybridMultilevel"/>
    <w:tmpl w:val="C2AE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6231C"/>
    <w:multiLevelType w:val="hybridMultilevel"/>
    <w:tmpl w:val="3F9CA6D0"/>
    <w:lvl w:ilvl="0" w:tplc="0184896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2E74DE"/>
    <w:multiLevelType w:val="hybridMultilevel"/>
    <w:tmpl w:val="6C30FCF2"/>
    <w:lvl w:ilvl="0" w:tplc="65B6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8050FC"/>
    <w:multiLevelType w:val="hybridMultilevel"/>
    <w:tmpl w:val="4852E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17"/>
  </w:num>
  <w:num w:numId="5">
    <w:abstractNumId w:val="12"/>
  </w:num>
  <w:num w:numId="6">
    <w:abstractNumId w:val="11"/>
  </w:num>
  <w:num w:numId="7">
    <w:abstractNumId w:val="18"/>
  </w:num>
  <w:num w:numId="8">
    <w:abstractNumId w:val="19"/>
  </w:num>
  <w:num w:numId="9">
    <w:abstractNumId w:val="1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  <w:num w:numId="18">
    <w:abstractNumId w:val="3"/>
  </w:num>
  <w:num w:numId="19">
    <w:abstractNumId w:val="2"/>
  </w:num>
  <w:num w:numId="20">
    <w:abstractNumId w:val="15"/>
  </w:num>
  <w:num w:numId="21">
    <w:abstractNumId w:val="0"/>
  </w:num>
  <w:num w:numId="22">
    <w:abstractNumId w:val="1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3"/>
    <w:rsid w:val="00021A9C"/>
    <w:rsid w:val="000302F4"/>
    <w:rsid w:val="000565FC"/>
    <w:rsid w:val="000C1C1B"/>
    <w:rsid w:val="00173E0C"/>
    <w:rsid w:val="001B20E8"/>
    <w:rsid w:val="001E23E2"/>
    <w:rsid w:val="00235695"/>
    <w:rsid w:val="00273443"/>
    <w:rsid w:val="00275FD1"/>
    <w:rsid w:val="003042EC"/>
    <w:rsid w:val="003079D2"/>
    <w:rsid w:val="00377C7F"/>
    <w:rsid w:val="003A176A"/>
    <w:rsid w:val="003A6F41"/>
    <w:rsid w:val="003F391F"/>
    <w:rsid w:val="00415E40"/>
    <w:rsid w:val="004422B0"/>
    <w:rsid w:val="00453960"/>
    <w:rsid w:val="00471400"/>
    <w:rsid w:val="004A637C"/>
    <w:rsid w:val="004D7237"/>
    <w:rsid w:val="00513DBE"/>
    <w:rsid w:val="0053085A"/>
    <w:rsid w:val="00622216"/>
    <w:rsid w:val="006729D4"/>
    <w:rsid w:val="00675BEF"/>
    <w:rsid w:val="006A1289"/>
    <w:rsid w:val="006A3BAC"/>
    <w:rsid w:val="006C4CAC"/>
    <w:rsid w:val="0074434C"/>
    <w:rsid w:val="007510B9"/>
    <w:rsid w:val="007753D7"/>
    <w:rsid w:val="00852278"/>
    <w:rsid w:val="00866CCD"/>
    <w:rsid w:val="008D01C7"/>
    <w:rsid w:val="009702C9"/>
    <w:rsid w:val="009873A8"/>
    <w:rsid w:val="009B1D90"/>
    <w:rsid w:val="009C119C"/>
    <w:rsid w:val="009F1234"/>
    <w:rsid w:val="00A0481F"/>
    <w:rsid w:val="00A16391"/>
    <w:rsid w:val="00A25276"/>
    <w:rsid w:val="00B11CCA"/>
    <w:rsid w:val="00B2562F"/>
    <w:rsid w:val="00C47458"/>
    <w:rsid w:val="00CA184C"/>
    <w:rsid w:val="00DB13F6"/>
    <w:rsid w:val="00DD5497"/>
    <w:rsid w:val="00E15C80"/>
    <w:rsid w:val="00E76CD0"/>
    <w:rsid w:val="00E8674B"/>
    <w:rsid w:val="00EA3585"/>
    <w:rsid w:val="00F32C2E"/>
    <w:rsid w:val="00F36B54"/>
    <w:rsid w:val="00F527A0"/>
    <w:rsid w:val="00FA37FD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4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4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E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0AF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ksiazka1">
    <w:name w:val="placeholderksiazka1"/>
    <w:basedOn w:val="Domylnaczcionkaakapitu"/>
    <w:rsid w:val="00DD54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4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4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E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0AF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ksiazka1">
    <w:name w:val="placeholderksiazka1"/>
    <w:basedOn w:val="Domylnaczcionkaakapitu"/>
    <w:rsid w:val="00DD54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tchdo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sultacje.um.warszawa.pl/baza_wiedzy/techniki_konsultacji_spole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F2F4-0A9A-40FC-89E8-1D7C530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Matulińska Magdalena</dc:creator>
  <cp:lastModifiedBy>Pawlak Małgorzata</cp:lastModifiedBy>
  <cp:revision>2</cp:revision>
  <cp:lastPrinted>2015-10-09T07:49:00Z</cp:lastPrinted>
  <dcterms:created xsi:type="dcterms:W3CDTF">2015-10-09T12:57:00Z</dcterms:created>
  <dcterms:modified xsi:type="dcterms:W3CDTF">2015-10-09T12:57:00Z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654549033</vt:i4>
  </property>
</Properties>
</file>